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color w:val="000000"/>
          <w:sz w:val="30"/>
        </w:rPr>
      </w:pPr>
      <w:bookmarkStart w:id="1" w:name="_GoBack"/>
      <w:bookmarkEnd w:id="1"/>
      <w:bookmarkStart w:id="0" w:name="_Toc24724725"/>
      <w:r>
        <w:rPr>
          <w:rFonts w:hint="eastAsia" w:ascii="方正小标宋_GBK" w:hAnsi="方正小标宋_GBK" w:eastAsia="方正小标宋_GBK"/>
          <w:b w:val="0"/>
          <w:bCs w:val="0"/>
          <w:color w:val="000000"/>
          <w:sz w:val="30"/>
        </w:rPr>
        <w:t>昆工路街道办事处政务公开标准目录</w:t>
      </w:r>
      <w:bookmarkEnd w:id="0"/>
    </w:p>
    <w:p/>
    <w:tbl>
      <w:tblPr>
        <w:tblStyle w:val="3"/>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38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hAnsi="Times New Roman" w:eastAsia="仿宋_GB2312"/>
                <w:color w:val="000000"/>
                <w:kern w:val="0"/>
                <w:sz w:val="18"/>
                <w:szCs w:val="18"/>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color w:val="000000"/>
                <w:kern w:val="0"/>
                <w:sz w:val="22"/>
              </w:rPr>
            </w:pPr>
          </w:p>
        </w:tc>
        <w:tc>
          <w:tcPr>
            <w:tcW w:w="6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（公）廉租房补贴的初审</w:t>
            </w:r>
          </w:p>
        </w:tc>
        <w:tc>
          <w:tcPr>
            <w:tcW w:w="1080" w:type="dxa"/>
            <w:vAlign w:val="center"/>
          </w:tcPr>
          <w:p>
            <w:pPr>
              <w:rPr>
                <w:rFonts w:ascii="仿宋_GB2312" w:hAnsi="宋体" w:eastAsia="仿宋_GB2312" w:cs="宋体"/>
                <w:bCs/>
                <w:color w:val="000000"/>
                <w:sz w:val="18"/>
                <w:szCs w:val="18"/>
              </w:rPr>
            </w:pPr>
            <w:r>
              <w:rPr>
                <w:rFonts w:hint="eastAsia" w:ascii="仿宋_GB2312" w:hAnsi="宋体" w:eastAsia="仿宋_GB2312"/>
                <w:color w:val="000000"/>
                <w:sz w:val="18"/>
                <w:szCs w:val="18"/>
              </w:rPr>
              <w:t>公租房租赁补贴或租金减免审批</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申请受理；</w:t>
            </w:r>
          </w:p>
          <w:p>
            <w:pPr>
              <w:rPr>
                <w:rFonts w:ascii="仿宋_GB2312" w:hAnsi="宋体" w:eastAsia="仿宋_GB2312" w:cs="宋体"/>
                <w:bCs/>
                <w:color w:val="000000"/>
                <w:sz w:val="18"/>
                <w:szCs w:val="18"/>
              </w:rPr>
            </w:pPr>
            <w:r>
              <w:rPr>
                <w:rFonts w:hint="eastAsia" w:ascii="仿宋_GB2312" w:hAnsi="宋体" w:eastAsia="仿宋_GB2312"/>
                <w:color w:val="000000"/>
                <w:sz w:val="18"/>
                <w:szCs w:val="18"/>
              </w:rPr>
              <w:t>审核结果：申请对象姓名、身份证号</w:t>
            </w:r>
            <w:r>
              <w:rPr>
                <w:rFonts w:ascii="仿宋_GB2312" w:hAnsi="宋体" w:eastAsia="仿宋_GB2312"/>
                <w:color w:val="000000"/>
                <w:sz w:val="18"/>
                <w:szCs w:val="18"/>
              </w:rPr>
              <w:t>(</w:t>
            </w:r>
            <w:r>
              <w:rPr>
                <w:rFonts w:hint="eastAsia" w:ascii="仿宋_GB2312" w:hAnsi="宋体" w:eastAsia="仿宋_GB2312"/>
                <w:color w:val="000000"/>
                <w:sz w:val="18"/>
                <w:szCs w:val="18"/>
              </w:rPr>
              <w:t>隐藏部分号码</w:t>
            </w:r>
            <w:r>
              <w:rPr>
                <w:rFonts w:ascii="仿宋_GB2312" w:hAnsi="宋体" w:eastAsia="仿宋_GB2312"/>
                <w:color w:val="000000"/>
                <w:sz w:val="18"/>
                <w:szCs w:val="18"/>
              </w:rPr>
              <w:t>)</w:t>
            </w:r>
            <w:r>
              <w:rPr>
                <w:rFonts w:hint="eastAsia" w:ascii="仿宋_GB2312" w:hAnsi="宋体" w:eastAsia="仿宋_GB2312"/>
                <w:color w:val="000000"/>
                <w:sz w:val="18"/>
                <w:szCs w:val="18"/>
              </w:rPr>
              <w:t>、申请房源类型；</w:t>
            </w:r>
          </w:p>
        </w:tc>
        <w:tc>
          <w:tcPr>
            <w:tcW w:w="2520" w:type="dxa"/>
            <w:vAlign w:val="center"/>
          </w:tcPr>
          <w:p>
            <w:pPr>
              <w:rPr>
                <w:rFonts w:ascii="仿宋_GB2312" w:hAnsi="宋体" w:eastAsia="仿宋_GB2312" w:cs="宋体"/>
                <w:bCs/>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2</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对就业困难人员实施就业援助</w:t>
            </w:r>
          </w:p>
        </w:tc>
        <w:tc>
          <w:tcPr>
            <w:tcW w:w="1080" w:type="dxa"/>
            <w:vAlign w:val="center"/>
          </w:tcPr>
          <w:p>
            <w:pPr>
              <w:rPr>
                <w:rFonts w:ascii="仿宋_GB2312" w:hAnsi="宋体" w:eastAsia="仿宋_GB2312" w:cs="宋体"/>
                <w:bCs/>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s="宋体"/>
                <w:bCs/>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vAlign w:val="center"/>
          </w:tcPr>
          <w:p>
            <w:pPr>
              <w:rPr>
                <w:rFonts w:ascii="仿宋_GB2312" w:hAnsi="宋体" w:eastAsia="仿宋_GB2312" w:cs="宋体"/>
                <w:bCs/>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s="宋体"/>
                <w:bCs/>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jc w:val="center"/>
              <w:rPr>
                <w:rFonts w:ascii="仿宋_GB2312" w:hAnsi="宋体" w:eastAsia="仿宋_GB2312" w:cs="宋体"/>
                <w:bCs/>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ascii="仿宋_GB2312" w:eastAsia="仿宋_GB2312"/>
                <w:color w:val="000000"/>
                <w:sz w:val="18"/>
                <w:szCs w:val="18"/>
              </w:rPr>
            </w:pPr>
            <w:r>
              <w:rPr>
                <w:rFonts w:hint="eastAsia" w:ascii="仿宋_GB2312" w:hAnsi="宋体" w:eastAsia="仿宋_GB2312"/>
                <w:color w:val="000000"/>
                <w:sz w:val="18"/>
                <w:szCs w:val="18"/>
              </w:rPr>
              <w:t>■基层公共服务平台</w:t>
            </w:r>
          </w:p>
        </w:tc>
        <w:tc>
          <w:tcPr>
            <w:tcW w:w="664" w:type="dxa"/>
            <w:vAlign w:val="center"/>
          </w:tcPr>
          <w:p>
            <w:pPr>
              <w:jc w:val="center"/>
              <w:rPr>
                <w:rFonts w:ascii="仿宋_GB2312" w:hAnsi="宋体" w:eastAsia="仿宋_GB2312" w:cs="宋体"/>
                <w:bCs/>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s="宋体"/>
                <w:bCs/>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s="宋体"/>
                <w:bCs/>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s="宋体"/>
                <w:bCs/>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s="宋体"/>
                <w:bCs/>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s="宋体"/>
                <w:bCs/>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p>
            <w:pPr>
              <w:jc w:val="center"/>
              <w:rPr>
                <w:rFonts w:ascii="仿宋_GB2312" w:hAnsi="宋体" w:eastAsia="仿宋_GB2312" w:cs="宋体"/>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2520" w:type="dxa"/>
          </w:tcPr>
          <w:p>
            <w:pPr>
              <w:rPr>
                <w:color w:val="000000"/>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■便民服务站</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2520" w:type="dxa"/>
          </w:tcPr>
          <w:p>
            <w:pPr>
              <w:rPr>
                <w:color w:val="000000"/>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■两微一端</w:t>
            </w:r>
            <w:r>
              <w:rPr>
                <w:rFonts w:ascii="仿宋_GB2312" w:eastAsia="仿宋_GB2312"/>
                <w:color w:val="000000"/>
                <w:sz w:val="18"/>
                <w:szCs w:val="18"/>
              </w:rPr>
              <w:t xml:space="preserve">   </w:t>
            </w:r>
            <w:r>
              <w:rPr>
                <w:rFonts w:hint="eastAsia" w:ascii="仿宋_GB2312" w:eastAsia="仿宋_GB2312"/>
                <w:color w:val="000000"/>
                <w:sz w:val="18"/>
                <w:szCs w:val="18"/>
              </w:rPr>
              <w:t>■公开查阅点</w:t>
            </w:r>
            <w:r>
              <w:rPr>
                <w:rFonts w:ascii="仿宋_GB2312" w:eastAsia="仿宋_GB2312"/>
                <w:color w:val="000000"/>
                <w:sz w:val="18"/>
                <w:szCs w:val="18"/>
              </w:rPr>
              <w:t xml:space="preserve"> </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6</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p>
          <w:p>
            <w:pPr>
              <w:rPr>
                <w:rFonts w:ascii="仿宋_GB2312" w:hAnsi="宋体" w:eastAsia="仿宋_GB2312"/>
                <w:color w:val="000000"/>
                <w:sz w:val="18"/>
                <w:szCs w:val="18"/>
              </w:rPr>
            </w:pP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7</w:t>
            </w:r>
          </w:p>
          <w:p>
            <w:pPr>
              <w:rPr>
                <w:rFonts w:ascii="仿宋_GB2312" w:hAnsi="宋体" w:eastAsia="仿宋_GB2312" w:cs="宋体"/>
                <w:color w:val="000000"/>
                <w:sz w:val="18"/>
                <w:szCs w:val="18"/>
              </w:rPr>
            </w:pP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vAlign w:val="center"/>
          </w:tcPr>
          <w:p>
            <w:pPr>
              <w:rPr>
                <w:rFonts w:ascii="仿宋_GB2312" w:hAnsi="宋体" w:eastAsia="仿宋_GB2312" w:cs="宋体"/>
                <w:bCs/>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continue"/>
            <w:vAlign w:val="center"/>
          </w:tcPr>
          <w:p>
            <w:pPr>
              <w:jc w:val="center"/>
              <w:rPr>
                <w:rFonts w:ascii="仿宋_GB2312" w:hAnsi="宋体" w:eastAsia="仿宋_GB2312" w:cs="宋体"/>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vAlign w:val="center"/>
          </w:tcPr>
          <w:p>
            <w:pPr>
              <w:rPr>
                <w:rFonts w:ascii="仿宋_GB2312" w:hAnsi="宋体" w:eastAsia="仿宋_GB2312" w:cs="宋体"/>
                <w:bCs/>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s="宋体"/>
                <w:bCs/>
                <w:color w:val="000000"/>
                <w:sz w:val="18"/>
                <w:szCs w:val="18"/>
              </w:rPr>
            </w:pP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vAlign w:val="center"/>
          </w:tcPr>
          <w:p>
            <w:pPr>
              <w:jc w:val="cente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对就业困难人员实施就业援助</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Merge w:val="continue"/>
            <w:vAlign w:val="center"/>
          </w:tcPr>
          <w:p>
            <w:pPr>
              <w:jc w:val="center"/>
              <w:rPr>
                <w:rFonts w:ascii="仿宋_GB2312" w:hAnsi="宋体" w:eastAsia="仿宋_GB2312" w:cs="宋体"/>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continue"/>
            <w:vAlign w:val="center"/>
          </w:tcPr>
          <w:p>
            <w:pPr>
              <w:jc w:val="center"/>
              <w:rPr>
                <w:rFonts w:ascii="仿宋_GB2312" w:hAnsi="宋体" w:eastAsia="仿宋_GB2312" w:cs="宋体"/>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公益性岗位招聘</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社会保险登记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252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养老保险服务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252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16</w:t>
            </w:r>
          </w:p>
        </w:tc>
        <w:tc>
          <w:tcPr>
            <w:tcW w:w="900" w:type="dxa"/>
            <w:vMerge w:val="continue"/>
            <w:vAlign w:val="center"/>
          </w:tcPr>
          <w:p>
            <w:pPr>
              <w:jc w:val="center"/>
              <w:rPr>
                <w:rFonts w:ascii="仿宋_GB2312" w:hAnsi="宋体" w:eastAsia="仿宋_GB2312" w:cs="宋体"/>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2520" w:type="dxa"/>
            <w:vMerge w:val="continue"/>
            <w:vAlign w:val="center"/>
          </w:tcPr>
          <w:p>
            <w:pPr>
              <w:rPr>
                <w:rFonts w:ascii="仿宋_GB2312" w:hAnsi="宋体" w:eastAsia="仿宋_GB2312" w:cs="宋体"/>
                <w:bCs/>
                <w:color w:val="000000"/>
                <w:sz w:val="18"/>
                <w:szCs w:val="18"/>
              </w:rPr>
            </w:pP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《社会救助暂行办法》</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w:t>
            </w:r>
          </w:p>
        </w:tc>
        <w:tc>
          <w:tcPr>
            <w:tcW w:w="252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900" w:type="dxa"/>
            <w:vMerge w:val="continue"/>
          </w:tcPr>
          <w:p>
            <w:pPr>
              <w:jc w:val="center"/>
              <w:rPr>
                <w:rFonts w:ascii="仿宋_GB2312" w:hAnsi="宋体" w:eastAsia="仿宋_GB2312" w:cs="宋体"/>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252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90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221</w:t>
            </w:r>
          </w:p>
        </w:tc>
        <w:tc>
          <w:tcPr>
            <w:tcW w:w="900" w:type="dxa"/>
            <w:vMerge w:val="continue"/>
          </w:tcPr>
          <w:p>
            <w:pPr>
              <w:jc w:val="center"/>
              <w:rPr>
                <w:rFonts w:ascii="仿宋_GB2312" w:hAnsi="宋体" w:eastAsia="仿宋_GB2312" w:cs="宋体"/>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90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p>
            <w:pPr>
              <w:jc w:val="cente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w:t>
            </w:r>
          </w:p>
        </w:tc>
        <w:tc>
          <w:tcPr>
            <w:tcW w:w="252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900" w:type="dxa"/>
            <w:vMerge w:val="continue"/>
          </w:tcPr>
          <w:p>
            <w:pPr>
              <w:jc w:val="center"/>
              <w:rPr>
                <w:rFonts w:ascii="仿宋_GB2312" w:hAnsi="宋体" w:eastAsia="仿宋_GB2312" w:cs="宋体"/>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办理事项、办理条件、救助供养标准、申请材料、办理流程、办理时间、地点、联系方式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90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900" w:type="dxa"/>
            <w:vMerge w:val="continue"/>
          </w:tcPr>
          <w:p>
            <w:pPr>
              <w:jc w:val="center"/>
              <w:rPr>
                <w:rFonts w:ascii="仿宋_GB2312" w:hAnsi="宋体" w:eastAsia="仿宋_GB2312" w:cs="宋体"/>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救助</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财政部关于进一步加强和改进临时救助工作的意见》、各地配套政策法规文件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900" w:type="dxa"/>
            <w:vMerge w:val="continue"/>
          </w:tcPr>
          <w:p>
            <w:pPr>
              <w:jc w:val="center"/>
              <w:rPr>
                <w:rFonts w:ascii="仿宋_GB2312" w:hAnsi="宋体" w:eastAsia="仿宋_GB2312" w:cs="宋体"/>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支出型临时救助对象名单、救助金额、救助事由</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66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30</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hAnsi="宋体" w:eastAsia="仿宋_GB2312"/>
                <w:color w:val="000000"/>
                <w:sz w:val="18"/>
                <w:szCs w:val="18"/>
              </w:rPr>
              <w:t>昆工路街道办事处</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■公开查阅点</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31</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动态信息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hAnsi="宋体" w:eastAsia="仿宋_GB2312"/>
                <w:color w:val="000000"/>
                <w:sz w:val="18"/>
                <w:szCs w:val="18"/>
              </w:rPr>
              <w:t>昆工路街道办事处</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p>
          <w:p>
            <w:pPr>
              <w:spacing w:line="240" w:lineRule="exact"/>
              <w:jc w:val="left"/>
              <w:rPr>
                <w:rFonts w:ascii="仿宋_GB2312" w:eastAsia="仿宋_GB2312"/>
                <w:sz w:val="18"/>
                <w:szCs w:val="18"/>
              </w:rPr>
            </w:pP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p>
          <w:p>
            <w:pPr>
              <w:spacing w:line="240" w:lineRule="exact"/>
              <w:jc w:val="left"/>
              <w:rPr>
                <w:rFonts w:ascii="仿宋_GB2312" w:eastAsia="仿宋_GB2312"/>
                <w:sz w:val="18"/>
                <w:szCs w:val="18"/>
              </w:rPr>
            </w:pP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32</w:t>
            </w:r>
          </w:p>
        </w:tc>
        <w:tc>
          <w:tcPr>
            <w:tcW w:w="900" w:type="dxa"/>
          </w:tcPr>
          <w:p>
            <w:pPr>
              <w:jc w:val="cente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隐患</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气象及灾害预警信息</w:t>
            </w:r>
            <w:r>
              <w:rPr>
                <w:rFonts w:ascii="仿宋_GB2312" w:eastAsia="仿宋_GB2312"/>
                <w:bCs/>
                <w:color w:val="000000"/>
                <w:sz w:val="18"/>
                <w:szCs w:val="18"/>
              </w:rPr>
              <w:t xml:space="preserve">            </w:t>
            </w:r>
            <w:r>
              <w:rPr>
                <w:rFonts w:hint="eastAsia" w:ascii="仿宋_GB2312" w:eastAsia="仿宋_GB2312"/>
                <w:bCs/>
                <w:color w:val="000000"/>
                <w:sz w:val="18"/>
                <w:szCs w:val="18"/>
              </w:rPr>
              <w:t>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vAlign w:val="center"/>
          </w:tcPr>
          <w:p>
            <w:pPr>
              <w:jc w:val="center"/>
              <w:rPr>
                <w:rFonts w:ascii="仿宋_GB2312" w:hAnsi="宋体" w:eastAsia="仿宋_GB2312" w:cs="宋体"/>
                <w:bCs/>
                <w:sz w:val="18"/>
                <w:szCs w:val="18"/>
              </w:rPr>
            </w:pPr>
            <w:r>
              <w:rPr>
                <w:rFonts w:hint="eastAsia" w:ascii="仿宋_GB2312" w:hAnsi="宋体" w:eastAsia="仿宋_GB2312"/>
                <w:color w:val="000000"/>
                <w:sz w:val="18"/>
                <w:szCs w:val="18"/>
              </w:rPr>
              <w:t>昆工路街道办事处</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p>
          <w:p>
            <w:pPr>
              <w:spacing w:line="240" w:lineRule="exact"/>
              <w:jc w:val="left"/>
              <w:rPr>
                <w:rFonts w:ascii="仿宋_GB2312" w:eastAsia="仿宋_GB2312"/>
                <w:sz w:val="18"/>
                <w:szCs w:val="18"/>
              </w:rPr>
            </w:pP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p>
          <w:p>
            <w:pPr>
              <w:spacing w:line="240" w:lineRule="exact"/>
              <w:jc w:val="left"/>
              <w:rPr>
                <w:rFonts w:ascii="仿宋_GB2312" w:eastAsia="仿宋_GB2312"/>
                <w:sz w:val="18"/>
                <w:szCs w:val="18"/>
              </w:rPr>
            </w:pPr>
            <w:r>
              <w:rPr>
                <w:rFonts w:hint="eastAsia" w:ascii="仿宋_GB2312" w:eastAsia="仿宋_GB2312"/>
                <w:sz w:val="18"/>
                <w:szCs w:val="18"/>
              </w:rPr>
              <w:t>■便民服务站</w:t>
            </w:r>
            <w:r>
              <w:rPr>
                <w:rFonts w:ascii="仿宋_GB2312" w:eastAsia="仿宋_GB2312"/>
                <w:sz w:val="18"/>
                <w:szCs w:val="18"/>
              </w:rPr>
              <w:t xml:space="preserve"> </w:t>
            </w:r>
            <w:r>
              <w:rPr>
                <w:rFonts w:hint="eastAsia" w:ascii="仿宋_GB2312" w:eastAsia="仿宋_GB2312"/>
                <w:sz w:val="18"/>
                <w:szCs w:val="18"/>
              </w:rPr>
              <w:t>■入户</w:t>
            </w:r>
            <w:r>
              <w:rPr>
                <w:rFonts w:ascii="仿宋_GB2312" w:eastAsia="仿宋_GB2312"/>
                <w:sz w:val="18"/>
                <w:szCs w:val="18"/>
              </w:rPr>
              <w:t>/</w:t>
            </w:r>
            <w:r>
              <w:rPr>
                <w:rFonts w:hint="eastAsia" w:ascii="仿宋_GB2312" w:eastAsia="仿宋_GB2312"/>
                <w:sz w:val="18"/>
                <w:szCs w:val="18"/>
              </w:rPr>
              <w:t>现场</w:t>
            </w:r>
          </w:p>
          <w:p>
            <w:pPr>
              <w:spacing w:line="240" w:lineRule="exact"/>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企事业单位、村公示栏（电子屏）</w:t>
            </w:r>
          </w:p>
          <w:p>
            <w:pPr>
              <w:spacing w:line="240" w:lineRule="exact"/>
              <w:jc w:val="left"/>
              <w:rPr>
                <w:rFonts w:ascii="仿宋_GB2312" w:eastAsia="仿宋_GB2312"/>
                <w:sz w:val="18"/>
                <w:szCs w:val="18"/>
              </w:rPr>
            </w:pPr>
            <w:r>
              <w:rPr>
                <w:rFonts w:hint="eastAsia" w:ascii="仿宋_GB2312" w:eastAsia="仿宋_GB2312"/>
                <w:sz w:val="18"/>
                <w:szCs w:val="18"/>
              </w:rPr>
              <w:t>■精准推送</w:t>
            </w:r>
            <w:r>
              <w:rPr>
                <w:rFonts w:ascii="仿宋_GB2312" w:eastAsia="仿宋_GB2312"/>
                <w:sz w:val="18"/>
                <w:szCs w:val="18"/>
              </w:rPr>
              <w:t xml:space="preserve">   </w:t>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900" w:type="dxa"/>
            <w:vMerge w:val="restart"/>
            <w:vAlign w:val="center"/>
          </w:tcPr>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tc>
        <w:tc>
          <w:tcPr>
            <w:tcW w:w="108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p>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决算</w:t>
            </w:r>
          </w:p>
        </w:tc>
        <w:tc>
          <w:tcPr>
            <w:tcW w:w="25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25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664"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34</w:t>
            </w:r>
          </w:p>
        </w:tc>
        <w:tc>
          <w:tcPr>
            <w:tcW w:w="900" w:type="dxa"/>
            <w:vMerge w:val="continue"/>
            <w:vAlign w:val="center"/>
          </w:tcPr>
          <w:p>
            <w:pPr>
              <w:jc w:val="center"/>
              <w:textAlignment w:val="center"/>
              <w:rPr>
                <w:rFonts w:ascii="仿宋_GB2312" w:hAnsi="宋体" w:eastAsia="仿宋_GB2312"/>
                <w:color w:val="000000"/>
                <w:sz w:val="18"/>
                <w:szCs w:val="18"/>
              </w:rPr>
            </w:pPr>
          </w:p>
        </w:tc>
        <w:tc>
          <w:tcPr>
            <w:tcW w:w="1080" w:type="dxa"/>
            <w:vMerge w:val="continue"/>
            <w:vAlign w:val="center"/>
          </w:tcPr>
          <w:p>
            <w:pPr>
              <w:jc w:val="center"/>
              <w:textAlignment w:val="center"/>
              <w:rPr>
                <w:rFonts w:ascii="仿宋_GB2312" w:hAnsi="宋体" w:eastAsia="仿宋_GB2312"/>
                <w:color w:val="000000"/>
                <w:sz w:val="18"/>
                <w:szCs w:val="18"/>
              </w:rPr>
            </w:pPr>
          </w:p>
        </w:tc>
        <w:tc>
          <w:tcPr>
            <w:tcW w:w="2520" w:type="dxa"/>
            <w:vAlign w:val="center"/>
          </w:tcPr>
          <w:p>
            <w:pPr>
              <w:widowControl/>
              <w:textAlignment w:val="center"/>
              <w:rPr>
                <w:rFonts w:ascii="仿宋_GB2312" w:hAnsi="宋体" w:eastAsia="仿宋_GB2312"/>
                <w:color w:val="000000"/>
                <w:sz w:val="18"/>
                <w:szCs w:val="18"/>
              </w:rPr>
            </w:pPr>
            <w: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180975</wp:posOffset>
                      </wp:positionV>
                      <wp:extent cx="1604010" cy="0"/>
                      <wp:effectExtent l="0" t="0" r="0" b="0"/>
                      <wp:wrapNone/>
                      <wp:docPr id="1" name="直接连接符 1"/>
                      <wp:cNvGraphicFramePr/>
                      <a:graphic xmlns:a="http://schemas.openxmlformats.org/drawingml/2006/main">
                        <a:graphicData uri="http://schemas.microsoft.com/office/word/2010/wordprocessingShape">
                          <wps:wsp>
                            <wps:cNvCnPr/>
                            <wps:spPr>
                              <a:xfrm>
                                <a:off x="1912620" y="5289550"/>
                                <a:ext cx="1604010"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2pt;margin-top:14.25pt;height:0pt;width:126.3pt;z-index:251658240;mso-width-relative:page;mso-height-relative:page;" filled="f" stroked="t" coordsize="21600,21600" o:gfxdata="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1TgRzVAAAABwEAAA8AAAAAAAAAAQAg&#10;AAAAIgAAAGRycy9kb3ducmV2LnhtbFBLAQIUABQAAAAIAIdO4kAGCjo62AEAAH0DAAAOAAAAAAAA&#10;AAEAIAAAACQBAABkcnMvZTJvRG9jLnhtbFBLBQYAAAAABgAGAFkBAABuBQAAAAA=&#10;">
                      <v:fill on="f" focussize="0,0"/>
                      <v:stroke weight="0.5pt" color="#000000" miterlimit="8" joinstyle="miter"/>
                      <v:imagedata o:title=""/>
                      <o:lock v:ext="edit" aspectratio="f"/>
                    </v:line>
                  </w:pict>
                </mc:Fallback>
              </mc:AlternateContent>
            </w: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5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664"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tcPr>
          <w:p>
            <w:pPr>
              <w:jc w:val="cente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35</w:t>
            </w:r>
          </w:p>
        </w:tc>
        <w:tc>
          <w:tcPr>
            <w:tcW w:w="900" w:type="dxa"/>
            <w:vMerge w:val="continue"/>
          </w:tcPr>
          <w:p>
            <w:pPr>
              <w:jc w:val="center"/>
              <w:textAlignment w:val="center"/>
              <w:rPr>
                <w:rFonts w:ascii="仿宋_GB2312" w:hAnsi="宋体" w:eastAsia="仿宋_GB2312"/>
                <w:color w:val="000000"/>
                <w:sz w:val="18"/>
                <w:szCs w:val="18"/>
              </w:rPr>
            </w:pPr>
          </w:p>
        </w:tc>
        <w:tc>
          <w:tcPr>
            <w:tcW w:w="1080" w:type="dxa"/>
            <w:vMerge w:val="continue"/>
          </w:tcPr>
          <w:p>
            <w:pPr>
              <w:jc w:val="center"/>
              <w:textAlignment w:val="center"/>
              <w:rPr>
                <w:rFonts w:ascii="仿宋_GB2312" w:hAnsi="宋体" w:eastAsia="仿宋_GB2312"/>
                <w:color w:val="000000"/>
                <w:sz w:val="18"/>
                <w:szCs w:val="18"/>
              </w:rPr>
            </w:pPr>
          </w:p>
        </w:tc>
        <w:tc>
          <w:tcPr>
            <w:tcW w:w="25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25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昆工路街道办事处</w:t>
            </w:r>
          </w:p>
        </w:tc>
        <w:tc>
          <w:tcPr>
            <w:tcW w:w="1496"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664"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tcPr>
          <w:p>
            <w:pPr>
              <w:jc w:val="cente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36</w:t>
            </w:r>
          </w:p>
        </w:tc>
        <w:tc>
          <w:tcPr>
            <w:tcW w:w="900" w:type="dxa"/>
            <w:vMerge w:val="continue"/>
          </w:tcPr>
          <w:p>
            <w:pPr>
              <w:jc w:val="center"/>
              <w:textAlignment w:val="center"/>
              <w:rPr>
                <w:rFonts w:ascii="仿宋_GB2312" w:hAnsi="宋体" w:eastAsia="仿宋_GB2312"/>
                <w:color w:val="000000"/>
                <w:sz w:val="18"/>
                <w:szCs w:val="18"/>
              </w:rPr>
            </w:pPr>
          </w:p>
        </w:tc>
        <w:tc>
          <w:tcPr>
            <w:tcW w:w="1080" w:type="dxa"/>
            <w:vMerge w:val="continue"/>
          </w:tcPr>
          <w:p>
            <w:pPr>
              <w:jc w:val="center"/>
              <w:textAlignment w:val="center"/>
              <w:rPr>
                <w:rFonts w:ascii="仿宋_GB2312" w:hAnsi="宋体" w:eastAsia="仿宋_GB2312"/>
                <w:color w:val="000000"/>
                <w:sz w:val="18"/>
                <w:szCs w:val="18"/>
              </w:rPr>
            </w:pPr>
          </w:p>
        </w:tc>
        <w:tc>
          <w:tcPr>
            <w:tcW w:w="252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2520" w:type="dxa"/>
            <w:vAlign w:val="center"/>
          </w:tcPr>
          <w:p>
            <w:pPr>
              <w:textAlignment w:val="center"/>
              <w:rPr>
                <w:rFonts w:ascii="仿宋_GB2312" w:hAnsi="宋体" w:eastAsia="仿宋_GB2312"/>
                <w:color w:val="000000"/>
                <w:sz w:val="18"/>
                <w:szCs w:val="18"/>
              </w:rPr>
            </w:pPr>
          </w:p>
        </w:tc>
        <w:tc>
          <w:tcPr>
            <w:tcW w:w="1800" w:type="dxa"/>
            <w:vAlign w:val="center"/>
          </w:tcPr>
          <w:p>
            <w:pPr>
              <w:jc w:val="center"/>
              <w:textAlignment w:val="center"/>
              <w:rPr>
                <w:rFonts w:ascii="仿宋_GB2312" w:hAnsi="宋体" w:eastAsia="仿宋_GB2312"/>
                <w:color w:val="000000"/>
                <w:sz w:val="18"/>
                <w:szCs w:val="18"/>
              </w:rPr>
            </w:pPr>
          </w:p>
        </w:tc>
        <w:tc>
          <w:tcPr>
            <w:tcW w:w="900" w:type="dxa"/>
            <w:vAlign w:val="center"/>
          </w:tcPr>
          <w:p>
            <w:pPr>
              <w:textAlignment w:val="center"/>
              <w:rPr>
                <w:rFonts w:ascii="仿宋_GB2312" w:hAnsi="宋体" w:eastAsia="仿宋_GB2312"/>
                <w:color w:val="000000"/>
                <w:sz w:val="18"/>
                <w:szCs w:val="18"/>
              </w:rPr>
            </w:pPr>
          </w:p>
        </w:tc>
        <w:tc>
          <w:tcPr>
            <w:tcW w:w="1496" w:type="dxa"/>
            <w:vAlign w:val="center"/>
          </w:tcPr>
          <w:p>
            <w:pPr>
              <w:jc w:val="center"/>
              <w:textAlignment w:val="center"/>
              <w:rPr>
                <w:rFonts w:ascii="仿宋_GB2312" w:hAnsi="宋体" w:eastAsia="仿宋_GB2312"/>
                <w:color w:val="000000"/>
                <w:sz w:val="18"/>
                <w:szCs w:val="18"/>
              </w:rPr>
            </w:pPr>
          </w:p>
        </w:tc>
        <w:tc>
          <w:tcPr>
            <w:tcW w:w="664"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jc w:val="center"/>
              <w:textAlignment w:val="center"/>
              <w:rPr>
                <w:rFonts w:ascii="仿宋_GB2312" w:hAnsi="宋体" w:eastAsia="仿宋_GB2312"/>
                <w:color w:val="000000"/>
                <w:sz w:val="18"/>
                <w:szCs w:val="18"/>
              </w:rPr>
            </w:pPr>
          </w:p>
        </w:tc>
        <w:tc>
          <w:tcPr>
            <w:tcW w:w="540" w:type="dxa"/>
            <w:vAlign w:val="center"/>
          </w:tcPr>
          <w:p>
            <w:pPr>
              <w:widowControl/>
              <w:jc w:val="center"/>
              <w:textAlignment w:val="center"/>
              <w:rPr>
                <w:rFonts w:ascii="仿宋_GB2312" w:hAnsi="宋体" w:eastAsia="仿宋_GB2312"/>
                <w:color w:val="000000"/>
                <w:sz w:val="18"/>
                <w:szCs w:val="18"/>
              </w:rPr>
            </w:pPr>
          </w:p>
        </w:tc>
        <w:tc>
          <w:tcPr>
            <w:tcW w:w="540" w:type="dxa"/>
            <w:vAlign w:val="center"/>
          </w:tcPr>
          <w:p>
            <w:pPr>
              <w:widowControl/>
              <w:jc w:val="center"/>
              <w:textAlignment w:val="center"/>
              <w:rPr>
                <w:rFonts w:ascii="仿宋_GB2312" w:hAnsi="宋体" w:eastAsia="仿宋_GB2312"/>
                <w:color w:val="000000"/>
                <w:sz w:val="18"/>
                <w:szCs w:val="18"/>
              </w:rPr>
            </w:pPr>
          </w:p>
        </w:tc>
      </w:tr>
    </w:tbl>
    <w:p>
      <w:pPr>
        <w:rPr>
          <w:rFonts w:ascii="方正小标宋简体" w:hAnsi="方正小标宋简体" w:eastAsia="方正小标宋简体" w:cs="方正小标宋简体"/>
          <w:sz w:val="40"/>
          <w:szCs w:val="4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E3488"/>
    <w:rsid w:val="00064CFA"/>
    <w:rsid w:val="001F24EA"/>
    <w:rsid w:val="0034040B"/>
    <w:rsid w:val="00E1126F"/>
    <w:rsid w:val="00EA57E6"/>
    <w:rsid w:val="00FE0EC9"/>
    <w:rsid w:val="045F62FF"/>
    <w:rsid w:val="0466367D"/>
    <w:rsid w:val="066C0C4A"/>
    <w:rsid w:val="06DC0CFB"/>
    <w:rsid w:val="07474845"/>
    <w:rsid w:val="09637470"/>
    <w:rsid w:val="0B3A032E"/>
    <w:rsid w:val="0B937A59"/>
    <w:rsid w:val="0CC843BB"/>
    <w:rsid w:val="0DA94130"/>
    <w:rsid w:val="10E23236"/>
    <w:rsid w:val="119D252F"/>
    <w:rsid w:val="11B027EC"/>
    <w:rsid w:val="13757215"/>
    <w:rsid w:val="13C77D22"/>
    <w:rsid w:val="158A2EF8"/>
    <w:rsid w:val="167237C3"/>
    <w:rsid w:val="19AB3D3E"/>
    <w:rsid w:val="1AEE3488"/>
    <w:rsid w:val="1D585B9C"/>
    <w:rsid w:val="1E41212D"/>
    <w:rsid w:val="1EA653AA"/>
    <w:rsid w:val="1F83106C"/>
    <w:rsid w:val="1FBC5322"/>
    <w:rsid w:val="249A5D15"/>
    <w:rsid w:val="257C60BF"/>
    <w:rsid w:val="25BC219E"/>
    <w:rsid w:val="26133D9E"/>
    <w:rsid w:val="26631C07"/>
    <w:rsid w:val="26D7180A"/>
    <w:rsid w:val="2A685256"/>
    <w:rsid w:val="30DD323F"/>
    <w:rsid w:val="342C2C77"/>
    <w:rsid w:val="34D26714"/>
    <w:rsid w:val="35232DCD"/>
    <w:rsid w:val="37E80F48"/>
    <w:rsid w:val="38996605"/>
    <w:rsid w:val="3A67799E"/>
    <w:rsid w:val="3E69689B"/>
    <w:rsid w:val="3EB64369"/>
    <w:rsid w:val="42905C1C"/>
    <w:rsid w:val="451B6B9F"/>
    <w:rsid w:val="46267095"/>
    <w:rsid w:val="46C343F6"/>
    <w:rsid w:val="479C6130"/>
    <w:rsid w:val="4802211C"/>
    <w:rsid w:val="48667938"/>
    <w:rsid w:val="48D05C00"/>
    <w:rsid w:val="491603D9"/>
    <w:rsid w:val="49A1440E"/>
    <w:rsid w:val="4A0512DF"/>
    <w:rsid w:val="4F09013A"/>
    <w:rsid w:val="51775F79"/>
    <w:rsid w:val="551E34E2"/>
    <w:rsid w:val="56926490"/>
    <w:rsid w:val="595B0109"/>
    <w:rsid w:val="595D7BA2"/>
    <w:rsid w:val="5A2312DA"/>
    <w:rsid w:val="5A2F2215"/>
    <w:rsid w:val="5E645E8C"/>
    <w:rsid w:val="5F5E0903"/>
    <w:rsid w:val="6024578C"/>
    <w:rsid w:val="61C777FD"/>
    <w:rsid w:val="65A826C2"/>
    <w:rsid w:val="65D57617"/>
    <w:rsid w:val="65F15358"/>
    <w:rsid w:val="66024D31"/>
    <w:rsid w:val="663856F6"/>
    <w:rsid w:val="66A23549"/>
    <w:rsid w:val="69015774"/>
    <w:rsid w:val="69DD6237"/>
    <w:rsid w:val="6AFB71F3"/>
    <w:rsid w:val="6B59356D"/>
    <w:rsid w:val="6BF20F2A"/>
    <w:rsid w:val="6BF65328"/>
    <w:rsid w:val="6C2C4223"/>
    <w:rsid w:val="6F385A89"/>
    <w:rsid w:val="6FB45B4E"/>
    <w:rsid w:val="6FEF7492"/>
    <w:rsid w:val="70A90E15"/>
    <w:rsid w:val="70D92806"/>
    <w:rsid w:val="71F637B0"/>
    <w:rsid w:val="75DB1B70"/>
    <w:rsid w:val="78467159"/>
    <w:rsid w:val="785A1326"/>
    <w:rsid w:val="7C46008B"/>
    <w:rsid w:val="7E4B3900"/>
    <w:rsid w:val="7E5B3697"/>
    <w:rsid w:val="7EDF18F0"/>
    <w:rsid w:val="7EFE263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6"/>
    <w:qFormat/>
    <w:uiPriority w:val="99"/>
    <w:pPr>
      <w:keepNext/>
      <w:keepLines/>
      <w:spacing w:before="340" w:after="330" w:line="578" w:lineRule="auto"/>
      <w:outlineLvl w:val="0"/>
    </w:pPr>
    <w:rPr>
      <w:b/>
      <w:bCs/>
      <w:kern w:val="44"/>
      <w:sz w:val="44"/>
      <w:szCs w:val="44"/>
    </w:rPr>
  </w:style>
  <w:style w:type="character" w:default="1" w:styleId="5">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Heading 1 Char"/>
    <w:basedOn w:val="5"/>
    <w:link w:val="2"/>
    <w:uiPriority w:val="9"/>
    <w:rPr>
      <w:rFonts w:ascii="Calibri" w:hAnsi="Calibri"/>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其他</Company>
  <Pages>10</Pages>
  <Words>1761</Words>
  <Characters>10042</Characters>
  <Lines>0</Lines>
  <Paragraphs>0</Paragraphs>
  <TotalTime>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2021-11-12T13:45:00Z</dcterms:created>
  <dc:creator>zwfwjzhg1</dc:creator>
  <cp:lastModifiedBy>zwfwjzhg1</cp:lastModifiedBy>
  <cp:lastPrinted>2021-10-28T03:02:00Z</cp:lastPrinted>
  <dcterms:modified xsi:type="dcterms:W3CDTF">2021-11-15T01:23:00Z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746589BA3B2D417EA649636C6636E106</vt:lpwstr>
  </property>
</Properties>
</file>