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昆都仑区2022年行政复议案件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统计分析报告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为了全面贯彻落实《中华人民共和国行政复议法》，发挥行政复议化解行政争议的主渠道作用，推动实质性化解行政争议，有效促进行政机关依法行政，严格规范公正执法，助力法治政府建设，现</w:t>
      </w:r>
      <w:r>
        <w:rPr>
          <w:rFonts w:hint="eastAsia" w:ascii="仿宋_GB2312" w:hAnsi="仿宋_GB2312" w:eastAsia="仿宋_GB2312" w:cs="仿宋_GB2312"/>
          <w:sz w:val="32"/>
          <w:szCs w:val="32"/>
          <w:lang w:val="en-US" w:eastAsia="zh-CN"/>
        </w:rPr>
        <w:t>对</w:t>
      </w:r>
      <w:r>
        <w:rPr>
          <w:rFonts w:hint="eastAsia" w:ascii="仿宋" w:hAnsi="仿宋" w:eastAsia="仿宋" w:cs="仿宋"/>
          <w:sz w:val="32"/>
          <w:szCs w:val="32"/>
          <w:lang w:val="en-US" w:eastAsia="zh-CN"/>
        </w:rPr>
        <w:t>昆都仑区</w:t>
      </w:r>
      <w:r>
        <w:rPr>
          <w:rFonts w:hint="eastAsia" w:ascii="仿宋_GB2312" w:hAnsi="仿宋_GB2312" w:eastAsia="仿宋_GB2312" w:cs="仿宋_GB2312"/>
          <w:sz w:val="32"/>
          <w:szCs w:val="32"/>
          <w:lang w:val="en-US" w:eastAsia="zh-CN"/>
        </w:rPr>
        <w:t>2022年度行政复议案件有关情况分析报告如下：</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rPr>
        <w:t>发挥行政复议化解行政争议主渠道作用、</w:t>
      </w:r>
      <w:r>
        <w:rPr>
          <w:rFonts w:hint="eastAsia" w:ascii="黑体" w:hAnsi="黑体" w:eastAsia="黑体" w:cs="楷体"/>
          <w:color w:val="000000" w:themeColor="text1"/>
          <w:sz w:val="32"/>
          <w:szCs w:val="32"/>
          <w14:textFill>
            <w14:solidFill>
              <w14:schemeClr w14:val="tx1"/>
            </w14:solidFill>
          </w14:textFill>
        </w:rPr>
        <w:t>提升行政复议社会治理效能</w:t>
      </w:r>
      <w:r>
        <w:rPr>
          <w:rFonts w:hint="eastAsia" w:ascii="黑体" w:hAnsi="黑体" w:eastAsia="黑体" w:cs="仿宋_GB2312"/>
          <w:sz w:val="32"/>
          <w:szCs w:val="32"/>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 w:cs="仿宋_GB2312"/>
          <w:sz w:val="32"/>
          <w:szCs w:val="32"/>
          <w:lang w:val="en-US" w:eastAsia="zh-CN"/>
        </w:rPr>
      </w:pPr>
      <w:r>
        <w:rPr>
          <w:rFonts w:hint="eastAsia" w:ascii="仿宋" w:hAnsi="仿宋" w:eastAsia="仿宋" w:cs="仿宋_GB2312"/>
          <w:b/>
          <w:bCs/>
          <w:sz w:val="32"/>
          <w:szCs w:val="32"/>
          <w:lang w:val="en-US" w:eastAsia="zh-CN"/>
        </w:rPr>
        <w:t>1</w:t>
      </w:r>
      <w:r>
        <w:rPr>
          <w:rFonts w:hint="eastAsia" w:ascii="仿宋" w:hAnsi="仿宋" w:eastAsia="仿宋" w:cs="仿宋_GB2312"/>
          <w:b/>
          <w:bCs/>
          <w:sz w:val="32"/>
          <w:szCs w:val="32"/>
        </w:rPr>
        <w:t>.实质性化解行政争议方面。</w:t>
      </w:r>
      <w:r>
        <w:rPr>
          <w:rFonts w:hint="eastAsia" w:ascii="仿宋" w:hAnsi="仿宋" w:eastAsia="仿宋" w:cs="仿宋_GB2312"/>
          <w:b/>
          <w:bCs/>
          <w:sz w:val="32"/>
          <w:szCs w:val="32"/>
          <w:lang w:val="en-US" w:eastAsia="zh-CN"/>
        </w:rPr>
        <w:t>一是</w:t>
      </w:r>
      <w:r>
        <w:rPr>
          <w:rFonts w:hint="eastAsia" w:ascii="仿宋_GB2312" w:hAnsi="仿宋_GB2312" w:eastAsia="仿宋_GB2312" w:cs="仿宋_GB2312"/>
          <w:sz w:val="32"/>
          <w:szCs w:val="32"/>
          <w:lang w:val="en-US" w:eastAsia="zh-CN"/>
        </w:rPr>
        <w:t>2022年，全区新收行政复议案件45件，受理44件，受理案件数同比去年上升38.6%。共受理以公安机关（含公安交管部门）为行政复议被申请人的案件36件，占全年案件受理量的81.8%，其余行政复议被申请人包括市场监督管理部门3件，人力资源和社会保障部门3件，城市管理综合执法部门2件。全年结案（包括上年受理后结转）29件，在已结案件中撤销11件，维持15件，终止2件，驳回1件，复议纠错率37.9%。在被撤销案件中包含公安机关作出的行政处罚和其他行政行为9件、公安交通管理机关作出的行政处罚1件、市场监督管理机关作出的行政处罚1件。2022年经复议后又进入诉讼的案件2件，复议应诉率为11%，较去年减少2件。行政复议</w:t>
      </w:r>
      <w:r>
        <w:rPr>
          <w:rFonts w:hint="eastAsia" w:ascii="仿宋" w:hAnsi="仿宋" w:eastAsia="仿宋" w:cs="仿宋_GB2312"/>
          <w:sz w:val="32"/>
          <w:szCs w:val="32"/>
        </w:rPr>
        <w:t>“案结事了”的成效显著</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行政复议化解行政争议的作用进一步凸显。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_GB2312"/>
          <w:b/>
          <w:bCs/>
          <w:sz w:val="32"/>
          <w:szCs w:val="32"/>
        </w:rPr>
        <w:t>2.提升行政复议办案质量方面。</w:t>
      </w:r>
      <w:r>
        <w:rPr>
          <w:rFonts w:hint="eastAsia" w:ascii="仿宋" w:hAnsi="仿宋" w:eastAsia="仿宋" w:cs="仿宋_GB2312"/>
          <w:b/>
          <w:bCs/>
          <w:sz w:val="32"/>
          <w:szCs w:val="32"/>
          <w:lang w:val="en-US" w:eastAsia="zh-CN"/>
        </w:rPr>
        <w:t>一是</w:t>
      </w:r>
      <w:r>
        <w:rPr>
          <w:rFonts w:hint="eastAsia" w:ascii="仿宋_GB2312" w:hAnsi="仿宋_GB2312" w:eastAsia="仿宋_GB2312" w:cs="仿宋_GB2312"/>
          <w:sz w:val="32"/>
          <w:szCs w:val="32"/>
          <w:lang w:val="en-US" w:eastAsia="zh-CN"/>
        </w:rPr>
        <w:t>2022年经复议后又进入诉讼的案件2件，败诉1件。在该案件后行政复议机关在案件审理中，对于在法律适用上有争议的案件，充分发挥行政复议案件讨论组的作用进行研究分析，在结案前广泛征求审判机关、检察机关办理类似案件的意见，以进一步提高案件法律适用的准确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为持续做好行政复议案件审理工作，以优化法治化营商环境为切入点，制定并完善了《昆区司法局行政复议案件集体讨论制度》和《昆区司法局涉企行政复议案件审理规则》等制度机制，为提高行政复议案件办理的规范化水平提供了制度支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 w:cs="仿宋_GB2312"/>
          <w:b/>
          <w:bCs/>
          <w:sz w:val="32"/>
          <w:szCs w:val="32"/>
          <w:lang w:val="en-US" w:eastAsia="zh-CN"/>
        </w:rPr>
      </w:pPr>
      <w:r>
        <w:rPr>
          <w:rFonts w:hint="eastAsia" w:ascii="仿宋" w:hAnsi="仿宋" w:eastAsia="仿宋" w:cs="仿宋_GB2312"/>
          <w:b/>
          <w:bCs/>
          <w:sz w:val="32"/>
          <w:szCs w:val="32"/>
        </w:rPr>
        <w:t>3.加强行政复议与其他纠纷化解机制衔接配合方面。</w:t>
      </w:r>
      <w:r>
        <w:rPr>
          <w:rFonts w:hint="eastAsia" w:ascii="仿宋" w:hAnsi="仿宋" w:eastAsia="仿宋" w:cs="仿宋_GB2312"/>
          <w:b w:val="0"/>
          <w:bCs w:val="0"/>
          <w:sz w:val="32"/>
          <w:szCs w:val="32"/>
          <w:lang w:val="en-US" w:eastAsia="zh-CN"/>
        </w:rPr>
        <w:t>对于疑难复杂的行政复议案件以及复议后可能存在行政诉讼的案件，在结案前就相关问题做好与审判机关的沟通，统一意见，</w:t>
      </w:r>
      <w:r>
        <w:rPr>
          <w:rFonts w:hint="eastAsia" w:ascii="仿宋" w:hAnsi="仿宋" w:eastAsia="仿宋" w:cs="仿宋_GB2312"/>
          <w:sz w:val="32"/>
          <w:szCs w:val="32"/>
        </w:rPr>
        <w:t>形成化解矛盾纠纷合力</w:t>
      </w:r>
      <w:r>
        <w:rPr>
          <w:rFonts w:hint="eastAsia" w:ascii="仿宋" w:hAnsi="仿宋" w:eastAsia="仿宋"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楷体"/>
          <w:color w:val="000000" w:themeColor="text1"/>
          <w:sz w:val="32"/>
          <w:szCs w:val="32"/>
          <w:lang w:val="en-US" w:eastAsia="zh-CN"/>
          <w14:textFill>
            <w14:solidFill>
              <w14:schemeClr w14:val="tx1"/>
            </w14:solidFill>
          </w14:textFill>
        </w:rPr>
        <w:t>二、</w:t>
      </w:r>
      <w:r>
        <w:rPr>
          <w:rFonts w:hint="eastAsia" w:ascii="黑体" w:hAnsi="黑体" w:eastAsia="黑体" w:cs="楷体"/>
          <w:color w:val="000000" w:themeColor="text1"/>
          <w:sz w:val="32"/>
          <w:szCs w:val="32"/>
          <w14:textFill>
            <w14:solidFill>
              <w14:schemeClr w14:val="tx1"/>
            </w14:solidFill>
          </w14:textFill>
        </w:rPr>
        <w:t>行政复议</w:t>
      </w:r>
      <w:r>
        <w:rPr>
          <w:rFonts w:hint="eastAsia" w:ascii="黑体" w:hAnsi="黑体" w:eastAsia="黑体" w:cs="仿宋_GB2312"/>
          <w:color w:val="000000" w:themeColor="text1"/>
          <w:sz w:val="32"/>
          <w:szCs w:val="32"/>
          <w14:textFill>
            <w14:solidFill>
              <w14:schemeClr w14:val="tx1"/>
            </w14:solidFill>
          </w14:textFill>
        </w:rPr>
        <w:t>发挥监督制约效能</w:t>
      </w:r>
      <w:r>
        <w:rPr>
          <w:rFonts w:hint="eastAsia" w:ascii="黑体" w:hAnsi="黑体" w:eastAsia="黑体" w:cs="仿宋_GB2312"/>
          <w:color w:val="000000" w:themeColor="text1"/>
          <w:sz w:val="32"/>
          <w:szCs w:val="32"/>
          <w:lang w:eastAsia="zh-CN"/>
          <w14:textFill>
            <w14:solidFill>
              <w14:schemeClr w14:val="tx1"/>
            </w14:solidFill>
          </w14:textFill>
        </w:rPr>
        <w:t>，</w:t>
      </w:r>
      <w:r>
        <w:rPr>
          <w:rFonts w:hint="eastAsia" w:ascii="黑体" w:hAnsi="黑体" w:eastAsia="黑体" w:cs="仿宋_GB2312"/>
          <w:color w:val="000000" w:themeColor="text1"/>
          <w:sz w:val="32"/>
          <w:szCs w:val="32"/>
          <w14:textFill>
            <w14:solidFill>
              <w14:schemeClr w14:val="tx1"/>
            </w14:solidFill>
          </w14:textFill>
        </w:rPr>
        <w:t>深入推进依法行政情况。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楷体"/>
          <w:b/>
          <w:bCs/>
          <w:sz w:val="32"/>
          <w:szCs w:val="32"/>
        </w:rPr>
        <w:t>1.监督纠正不合法行政行为方面。</w:t>
      </w:r>
      <w:r>
        <w:rPr>
          <w:rFonts w:hint="eastAsia" w:ascii="仿宋" w:hAnsi="仿宋" w:eastAsia="仿宋" w:cs="楷体"/>
          <w:b w:val="0"/>
          <w:bCs w:val="0"/>
          <w:sz w:val="32"/>
          <w:szCs w:val="32"/>
          <w:lang w:val="en-US" w:eastAsia="zh-CN"/>
        </w:rPr>
        <w:t>2022年</w:t>
      </w:r>
      <w:r>
        <w:rPr>
          <w:rFonts w:hint="eastAsia" w:ascii="仿宋_GB2312" w:hAnsi="仿宋_GB2312" w:eastAsia="仿宋_GB2312" w:cs="仿宋_GB2312"/>
          <w:sz w:val="32"/>
          <w:szCs w:val="32"/>
          <w:lang w:val="en-US" w:eastAsia="zh-CN"/>
        </w:rPr>
        <w:t>全年共结案（包括上年受理后结转）29件，在已结案件中撤销11件，复议纠错率37.9%。被撤销案件的行政机关主要为公安机关（含公安交通管理机关）和市场监督管理机关，在所有被撤销案件中有10件案件均是因为行政机关在办理行政案件中存在程序缺失造成，另外1件被撤销的原因为缺乏法律依据。造成行政机关办理案件存在程序缺失的原因，经分析可能为，行政机关案件量大，执法人员数量不足不能满足实际执法工作的需要，为防止案件积压，依法打击违法犯罪，防止出现超期办案的问题，行政机关为加快案件办理进度，一定程度上出现了遗漏法定程序的问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_GB2312"/>
          <w:sz w:val="32"/>
          <w:szCs w:val="32"/>
        </w:rPr>
      </w:pPr>
      <w:r>
        <w:rPr>
          <w:rFonts w:hint="eastAsia" w:ascii="仿宋" w:hAnsi="仿宋" w:eastAsia="仿宋" w:cs="仿宋_GB2312"/>
          <w:b/>
          <w:bCs/>
          <w:i w:val="0"/>
          <w:iCs w:val="0"/>
          <w:sz w:val="32"/>
          <w:szCs w:val="32"/>
          <w:lang w:val="en-US" w:eastAsia="zh-CN"/>
        </w:rPr>
        <w:t>2.</w:t>
      </w:r>
      <w:r>
        <w:rPr>
          <w:rFonts w:hint="eastAsia" w:ascii="仿宋" w:hAnsi="仿宋" w:eastAsia="仿宋" w:cs="仿宋_GB2312"/>
          <w:b/>
          <w:bCs/>
          <w:i w:val="0"/>
          <w:iCs w:val="0"/>
          <w:sz w:val="32"/>
          <w:szCs w:val="32"/>
        </w:rPr>
        <w:t>源头规范行政执法方面。</w:t>
      </w:r>
      <w:r>
        <w:rPr>
          <w:rFonts w:hint="eastAsia" w:ascii="仿宋" w:hAnsi="仿宋" w:eastAsia="仿宋" w:cs="仿宋_GB2312"/>
          <w:sz w:val="32"/>
          <w:szCs w:val="32"/>
        </w:rPr>
        <w:t>行政复议在源头规范行政执法方面</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通过行政复议案件审理发现执法程序不规范以及缺失的问题，运用行政复议意见书和建议书的形式对行政机关的违法行为进行纠正，并就进一步做好下一步执法工作提出建议，通过此种方法可以从源头上规范行政机关的执法行为</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楷体"/>
          <w:color w:val="000000" w:themeColor="text1"/>
          <w:sz w:val="32"/>
          <w:szCs w:val="32"/>
          <w14:textFill>
            <w14:solidFill>
              <w14:schemeClr w14:val="tx1"/>
            </w14:solidFill>
          </w14:textFill>
        </w:rPr>
        <w:t>三、行政复议</w:t>
      </w:r>
      <w:r>
        <w:rPr>
          <w:rFonts w:hint="eastAsia" w:ascii="黑体" w:hAnsi="黑体" w:eastAsia="黑体" w:cs="仿宋_GB2312"/>
          <w:sz w:val="32"/>
          <w:szCs w:val="32"/>
        </w:rPr>
        <w:t>服务高质量发展</w:t>
      </w:r>
      <w:r>
        <w:rPr>
          <w:rFonts w:hint="eastAsia" w:ascii="黑体" w:hAnsi="黑体" w:eastAsia="黑体" w:cs="仿宋_GB2312"/>
          <w:color w:val="000000" w:themeColor="text1"/>
          <w:sz w:val="32"/>
          <w:szCs w:val="32"/>
          <w14:textFill>
            <w14:solidFill>
              <w14:schemeClr w14:val="tx1"/>
            </w14:solidFill>
          </w14:textFill>
        </w:rPr>
        <w:t>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2022年共办理</w:t>
      </w:r>
      <w:r>
        <w:rPr>
          <w:rFonts w:hint="eastAsia" w:ascii="仿宋" w:hAnsi="仿宋" w:eastAsia="仿宋" w:cs="仿宋_GB2312"/>
          <w:sz w:val="32"/>
          <w:szCs w:val="32"/>
        </w:rPr>
        <w:t>涉企行政复议案件</w:t>
      </w:r>
      <w:r>
        <w:rPr>
          <w:rFonts w:hint="eastAsia" w:ascii="仿宋" w:hAnsi="仿宋" w:eastAsia="仿宋" w:cs="仿宋_GB2312"/>
          <w:sz w:val="32"/>
          <w:szCs w:val="32"/>
          <w:lang w:val="en-US" w:eastAsia="zh-CN"/>
        </w:rPr>
        <w:t>3件，撤销1件</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为规范涉企行政复议办理，加快案件审理进度，制定《昆区司法局涉企行政复议案件审理规则》，将涉企行政复议案件审理时限压缩至40日左右。通过纠错的行政复议案件，向被纠错部门发放行政复议意见书，就进一步规范执法行为，提高</w:t>
      </w:r>
      <w:r>
        <w:rPr>
          <w:rFonts w:hint="eastAsia" w:ascii="仿宋" w:hAnsi="仿宋" w:eastAsia="仿宋" w:cs="仿宋_GB2312"/>
          <w:sz w:val="32"/>
          <w:szCs w:val="32"/>
        </w:rPr>
        <w:t>服务规范化、便利化</w:t>
      </w:r>
      <w:r>
        <w:rPr>
          <w:rFonts w:hint="eastAsia" w:ascii="仿宋" w:hAnsi="仿宋" w:eastAsia="仿宋" w:cs="仿宋_GB2312"/>
          <w:sz w:val="32"/>
          <w:szCs w:val="32"/>
          <w:lang w:val="en-US" w:eastAsia="zh-CN"/>
        </w:rPr>
        <w:t>等方面提出整改建议。</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6816D"/>
    <w:multiLevelType w:val="singleLevel"/>
    <w:tmpl w:val="CEB681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jFkZGZhZWI5ZjE3MjBhMDlkZWQzMDAyY2Q0YmQifQ=="/>
  </w:docVars>
  <w:rsids>
    <w:rsidRoot w:val="5E0E287F"/>
    <w:rsid w:val="18D131DC"/>
    <w:rsid w:val="21641DCC"/>
    <w:rsid w:val="2F332FCF"/>
    <w:rsid w:val="304E3C4C"/>
    <w:rsid w:val="35B76118"/>
    <w:rsid w:val="37B35066"/>
    <w:rsid w:val="3FA718EE"/>
    <w:rsid w:val="4F6E3703"/>
    <w:rsid w:val="5E0E287F"/>
    <w:rsid w:val="72B8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2426</Words>
  <Characters>2480</Characters>
  <Lines>0</Lines>
  <Paragraphs>0</Paragraphs>
  <TotalTime>18</TotalTime>
  <ScaleCrop>false</ScaleCrop>
  <LinksUpToDate>false</LinksUpToDate>
  <CharactersWithSpaces>2484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2021-12-24T01:01:00Z</dcterms:created>
  <dc:creator>张彦波</dc:creator>
  <cp:lastModifiedBy>张彦波</cp:lastModifiedBy>
  <dcterms:modified xsi:type="dcterms:W3CDTF">2023-06-20T10:31:25Z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F8CCD0B16424467B9F862AADFB27FBA6_13</vt:lpwstr>
  </property>
</Properties>
</file>