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jc w:val="center"/>
        <w:rPr>
          <w:rFonts w:ascii="方正小标宋_GBK" w:eastAsia="方正小标宋_GBK"/>
          <w:b w:val="0"/>
          <w:bCs w:val="0"/>
          <w:sz w:val="30"/>
        </w:rPr>
      </w:pPr>
      <w:bookmarkStart w:id="0" w:name="_Toc24724705"/>
      <w:r>
        <w:rPr>
          <w:rFonts w:ascii="方正小标宋_GBK" w:eastAsia="方正小标宋_GBK" w:hint="eastAsia"/>
          <w:b w:val="0"/>
          <w:bCs w:val="0"/>
          <w:sz w:val="30"/>
        </w:rPr>
        <w:t>（二）公共资源交易领域基层政务公开标准目录</w:t>
      </w:r>
      <w:bookmarkEnd w:id="0"/>
    </w:p>
    <w:tbl>
      <w:tblPr>
        <w:jc w:val="left"/>
        <w:tblInd w:w="-836" w:type="dxa"/>
        <w:tblW w:w="15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rPr>
          <w:cantSplit/>
        </w:trPr>
        <w:tc>
          <w:tcPr>
            <w:tcW w:w="540" w:type="dxa"/>
            <w:vMerge w:val="restart"/>
            <w:shd w:val="clear" w:color="auto" w:fill="auto"/>
            <w:vAlign w:val="center"/>
          </w:tcPr>
          <w:p>
            <w:pPr>
              <w:widowControl/>
              <w:jc w:val="center"/>
              <w:rPr>
                <w:rFonts w:ascii="仿宋_GB2312" w:eastAsia="仿宋_GB2312" w:hint="eastAsia"/>
                <w:color w:val="000000"/>
                <w:kern w:val="0"/>
                <w:sz w:val="18"/>
                <w:szCs w:val="18"/>
              </w:rPr>
            </w:pPr>
            <w:r>
              <w:rPr>
                <w:rFonts w:ascii="黑体" w:eastAsia="黑体" w:cs="宋体" w:hint="eastAsia"/>
                <w:kern w:val="0"/>
                <w:sz w:val="22"/>
              </w:rPr>
              <w:t>序号</w:t>
            </w:r>
          </w:p>
        </w:tc>
        <w:tc>
          <w:tcPr>
            <w:tcW w:w="1676" w:type="dxa"/>
            <w:gridSpan w:val="2"/>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公开事项</w:t>
            </w:r>
          </w:p>
        </w:tc>
        <w:tc>
          <w:tcPr>
            <w:tcW w:w="3364" w:type="dxa"/>
            <w:vMerge w:val="restart"/>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公开内容（要素）</w:t>
            </w:r>
          </w:p>
        </w:tc>
        <w:tc>
          <w:tcPr>
            <w:tcW w:w="2340" w:type="dxa"/>
            <w:vMerge w:val="restart"/>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公开依据</w:t>
            </w:r>
          </w:p>
        </w:tc>
        <w:tc>
          <w:tcPr>
            <w:tcW w:w="1620" w:type="dxa"/>
            <w:vMerge w:val="restart"/>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公开</w:t>
            </w:r>
          </w:p>
          <w:p>
            <w:pPr>
              <w:widowControl/>
              <w:jc w:val="center"/>
              <w:rPr>
                <w:rFonts w:ascii="黑体" w:eastAsia="黑体" w:cs="宋体" w:hint="eastAsia"/>
                <w:kern w:val="0"/>
                <w:sz w:val="22"/>
              </w:rPr>
            </w:pPr>
            <w:r>
              <w:rPr>
                <w:rFonts w:ascii="黑体" w:eastAsia="黑体" w:cs="宋体" w:hint="eastAsia"/>
                <w:kern w:val="0"/>
                <w:sz w:val="22"/>
              </w:rPr>
              <w:t>时限</w:t>
            </w:r>
          </w:p>
        </w:tc>
        <w:tc>
          <w:tcPr>
            <w:tcW w:w="956" w:type="dxa"/>
            <w:vMerge w:val="restart"/>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公开</w:t>
            </w:r>
          </w:p>
          <w:p>
            <w:pPr>
              <w:widowControl/>
              <w:jc w:val="center"/>
              <w:rPr>
                <w:rFonts w:ascii="黑体" w:eastAsia="黑体" w:cs="宋体"/>
                <w:kern w:val="0"/>
                <w:sz w:val="22"/>
              </w:rPr>
            </w:pPr>
            <w:r>
              <w:rPr>
                <w:rFonts w:ascii="黑体" w:eastAsia="黑体" w:cs="宋体" w:hint="eastAsia"/>
                <w:kern w:val="0"/>
                <w:sz w:val="22"/>
              </w:rPr>
              <w:t>主体</w:t>
            </w:r>
          </w:p>
        </w:tc>
        <w:tc>
          <w:tcPr>
            <w:tcW w:w="1856" w:type="dxa"/>
            <w:vMerge w:val="restart"/>
            <w:shd w:val="clear" w:color="auto" w:fill="auto"/>
            <w:vAlign w:val="center"/>
          </w:tcPr>
          <w:p>
            <w:pPr>
              <w:widowControl/>
              <w:jc w:val="center"/>
              <w:rPr>
                <w:rFonts w:ascii="黑体" w:eastAsia="黑体" w:cs="宋体"/>
                <w:kern w:val="0"/>
                <w:sz w:val="22"/>
              </w:rPr>
            </w:pPr>
            <w:r>
              <w:rPr>
                <w:rFonts w:ascii="黑体" w:eastAsia="黑体" w:cs="宋体" w:hint="eastAsia"/>
                <w:kern w:val="0"/>
                <w:sz w:val="22"/>
              </w:rPr>
              <w:t>公开渠道和载体</w:t>
            </w:r>
          </w:p>
        </w:tc>
        <w:tc>
          <w:tcPr>
            <w:tcW w:w="1620" w:type="dxa"/>
            <w:gridSpan w:val="2"/>
            <w:shd w:val="clear" w:color="auto" w:fill="auto"/>
            <w:vAlign w:val="center"/>
          </w:tcPr>
          <w:p>
            <w:pPr>
              <w:widowControl/>
              <w:jc w:val="center"/>
              <w:rPr>
                <w:rFonts w:ascii="黑体" w:eastAsia="黑体" w:cs="宋体"/>
                <w:color w:val="000000"/>
                <w:kern w:val="0"/>
                <w:sz w:val="22"/>
              </w:rPr>
            </w:pPr>
            <w:r>
              <w:rPr>
                <w:rFonts w:ascii="黑体" w:eastAsia="黑体" w:cs="宋体" w:hint="eastAsia"/>
                <w:color w:val="000000"/>
                <w:kern w:val="0"/>
                <w:sz w:val="22"/>
              </w:rPr>
              <w:t>公开对象</w:t>
            </w:r>
          </w:p>
        </w:tc>
        <w:tc>
          <w:tcPr>
            <w:tcW w:w="1688" w:type="dxa"/>
            <w:gridSpan w:val="2"/>
            <w:shd w:val="clear" w:color="auto" w:fill="auto"/>
            <w:vAlign w:val="center"/>
          </w:tcPr>
          <w:p>
            <w:pPr>
              <w:widowControl/>
              <w:jc w:val="center"/>
              <w:rPr>
                <w:rFonts w:ascii="黑体" w:eastAsia="黑体" w:cs="宋体"/>
                <w:color w:val="000000"/>
                <w:kern w:val="0"/>
                <w:sz w:val="22"/>
              </w:rPr>
            </w:pPr>
            <w:r>
              <w:rPr>
                <w:rFonts w:ascii="黑体" w:eastAsia="黑体" w:cs="宋体" w:hint="eastAsia"/>
                <w:color w:val="000000"/>
                <w:kern w:val="0"/>
                <w:sz w:val="22"/>
              </w:rPr>
              <w:t>公开方式</w:t>
            </w:r>
          </w:p>
        </w:tc>
      </w:tr>
      <w:tr>
        <w:trPr>
          <w:cantSplit/>
        </w:trPr>
        <w:tc>
          <w:tcPr>
            <w:tcW w:w="540" w:type="dxa"/>
            <w:vMerge/>
            <w:vAlign w:val="center"/>
          </w:tcPr>
          <w:p/>
        </w:tc>
        <w:tc>
          <w:tcPr>
            <w:tcW w:w="900" w:type="dxa"/>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一级事项</w:t>
            </w:r>
          </w:p>
        </w:tc>
        <w:tc>
          <w:tcPr>
            <w:tcW w:w="776" w:type="dxa"/>
            <w:shd w:val="clear" w:color="auto" w:fill="auto"/>
            <w:vAlign w:val="center"/>
          </w:tcPr>
          <w:p>
            <w:pPr>
              <w:widowControl/>
              <w:jc w:val="center"/>
              <w:rPr>
                <w:rFonts w:ascii="黑体" w:eastAsia="黑体" w:cs="宋体" w:hint="eastAsia"/>
                <w:kern w:val="0"/>
                <w:sz w:val="22"/>
              </w:rPr>
            </w:pPr>
            <w:r>
              <w:rPr>
                <w:rFonts w:ascii="黑体" w:eastAsia="黑体" w:cs="宋体" w:hint="eastAsia"/>
                <w:kern w:val="0"/>
                <w:sz w:val="22"/>
              </w:rPr>
              <w:t>二级事项</w:t>
            </w:r>
          </w:p>
        </w:tc>
        <w:tc>
          <w:tcPr>
            <w:tcW w:w="3364" w:type="dxa"/>
            <w:vMerge/>
            <w:vAlign w:val="center"/>
          </w:tcPr>
          <w:p/>
        </w:tc>
        <w:tc>
          <w:tcPr>
            <w:tcW w:w="2340" w:type="dxa"/>
            <w:vMerge/>
            <w:vAlign w:val="center"/>
          </w:tcPr>
          <w:p/>
        </w:tc>
        <w:tc>
          <w:tcPr>
            <w:tcW w:w="1620" w:type="dxa"/>
            <w:vMerge/>
            <w:vAlign w:val="center"/>
          </w:tcPr>
          <w:p/>
        </w:tc>
        <w:tc>
          <w:tcPr>
            <w:tcW w:w="956" w:type="dxa"/>
            <w:vMerge/>
            <w:vAlign w:val="center"/>
          </w:tcPr>
          <w:p/>
        </w:tc>
        <w:tc>
          <w:tcPr>
            <w:tcW w:w="1856" w:type="dxa"/>
            <w:vMerge/>
            <w:vAlign w:val="center"/>
          </w:tcPr>
          <w:p/>
        </w:tc>
        <w:tc>
          <w:tcPr>
            <w:tcW w:w="720" w:type="dxa"/>
            <w:shd w:val="clear" w:color="auto" w:fill="auto"/>
            <w:vAlign w:val="center"/>
          </w:tcPr>
          <w:p>
            <w:pPr>
              <w:widowControl/>
              <w:jc w:val="center"/>
              <w:rPr>
                <w:rFonts w:ascii="黑体" w:eastAsia="黑体" w:cs="宋体"/>
                <w:color w:val="000000"/>
                <w:kern w:val="0"/>
                <w:sz w:val="22"/>
              </w:rPr>
            </w:pPr>
            <w:r>
              <w:rPr>
                <w:rFonts w:ascii="黑体" w:eastAsia="黑体" w:cs="宋体" w:hint="eastAsia"/>
                <w:color w:val="000000"/>
                <w:kern w:val="0"/>
                <w:sz w:val="22"/>
              </w:rPr>
              <w:t>全社会</w:t>
            </w:r>
          </w:p>
        </w:tc>
        <w:tc>
          <w:tcPr>
            <w:tcW w:w="900" w:type="dxa"/>
            <w:shd w:val="clear" w:color="auto" w:fill="auto"/>
            <w:vAlign w:val="center"/>
          </w:tcPr>
          <w:p>
            <w:pPr>
              <w:widowControl/>
              <w:jc w:val="center"/>
              <w:rPr>
                <w:rFonts w:ascii="黑体" w:eastAsia="黑体" w:cs="宋体" w:hint="eastAsia"/>
                <w:color w:val="000000"/>
                <w:kern w:val="0"/>
                <w:sz w:val="22"/>
              </w:rPr>
            </w:pPr>
            <w:r>
              <w:rPr>
                <w:rFonts w:ascii="黑体" w:eastAsia="黑体" w:cs="宋体" w:hint="eastAsia"/>
                <w:color w:val="000000"/>
                <w:kern w:val="0"/>
                <w:sz w:val="22"/>
              </w:rPr>
              <w:t>特定</w:t>
            </w:r>
          </w:p>
          <w:p>
            <w:pPr>
              <w:widowControl/>
              <w:jc w:val="center"/>
              <w:rPr>
                <w:rFonts w:ascii="黑体" w:eastAsia="黑体" w:cs="宋体"/>
                <w:color w:val="000000"/>
                <w:kern w:val="0"/>
                <w:sz w:val="22"/>
              </w:rPr>
            </w:pPr>
            <w:r>
              <w:rPr>
                <w:rFonts w:ascii="黑体" w:eastAsia="黑体" w:cs="宋体" w:hint="eastAsia"/>
                <w:color w:val="000000"/>
                <w:kern w:val="0"/>
                <w:sz w:val="22"/>
              </w:rPr>
              <w:t>群众</w:t>
            </w:r>
          </w:p>
        </w:tc>
        <w:tc>
          <w:tcPr>
            <w:tcW w:w="788" w:type="dxa"/>
            <w:shd w:val="clear" w:color="auto" w:fill="auto"/>
            <w:vAlign w:val="center"/>
          </w:tcPr>
          <w:p>
            <w:pPr>
              <w:widowControl/>
              <w:jc w:val="center"/>
              <w:rPr>
                <w:rFonts w:ascii="黑体" w:eastAsia="黑体" w:cs="宋体"/>
                <w:color w:val="000000"/>
                <w:kern w:val="0"/>
                <w:sz w:val="22"/>
              </w:rPr>
            </w:pPr>
            <w:r>
              <w:rPr>
                <w:rFonts w:ascii="黑体" w:eastAsia="黑体" w:cs="宋体" w:hint="eastAsia"/>
                <w:color w:val="000000"/>
                <w:kern w:val="0"/>
                <w:sz w:val="22"/>
              </w:rPr>
              <w:t>主动</w:t>
            </w:r>
          </w:p>
        </w:tc>
        <w:tc>
          <w:tcPr>
            <w:tcW w:w="900" w:type="dxa"/>
            <w:shd w:val="clear" w:color="auto" w:fill="auto"/>
            <w:vAlign w:val="center"/>
          </w:tcPr>
          <w:p>
            <w:pPr>
              <w:widowControl/>
              <w:jc w:val="center"/>
              <w:rPr>
                <w:rFonts w:ascii="黑体" w:eastAsia="黑体" w:cs="宋体"/>
                <w:color w:val="000000"/>
                <w:kern w:val="0"/>
                <w:sz w:val="22"/>
              </w:rPr>
            </w:pPr>
            <w:r>
              <w:rPr>
                <w:rFonts w:ascii="黑体" w:eastAsia="黑体" w:cs="宋体" w:hint="eastAsia"/>
                <w:color w:val="000000"/>
                <w:kern w:val="0"/>
                <w:sz w:val="22"/>
              </w:rPr>
              <w:t>依申请公开</w:t>
            </w:r>
          </w:p>
        </w:tc>
      </w:tr>
      <w:tr>
        <w:trPr>
          <w:cantSplit/>
        </w:trPr>
        <w:tc>
          <w:tcPr>
            <w:tcW w:w="540" w:type="dxa"/>
            <w:vAlign w:val="center"/>
          </w:tcPr>
          <w:p>
            <w:pPr>
              <w:jc w:val="center"/>
              <w:rPr>
                <w:rFonts w:ascii="仿宋_GB2312" w:eastAsia="仿宋_GB2312" w:cs="宋体" w:hint="eastAsia"/>
                <w:sz w:val="18"/>
                <w:szCs w:val="18"/>
              </w:rPr>
            </w:pPr>
            <w:r>
              <w:rPr>
                <w:rFonts w:ascii="仿宋_GB2312" w:eastAsia="仿宋_GB2312" w:cs="宋体"/>
                <w:sz w:val="18"/>
                <w:szCs w:val="18"/>
              </w:rPr>
              <w:t>1</w:t>
            </w:r>
          </w:p>
        </w:tc>
        <w:tc>
          <w:tcPr>
            <w:tcW w:w="900" w:type="dxa"/>
            <w:vMerge w:val="restart"/>
            <w:shd w:val="clear" w:color="auto" w:fill="auto"/>
            <w:vAlign w:val="center"/>
          </w:tcPr>
          <w:p>
            <w:pPr>
              <w:jc w:val="center"/>
              <w:rPr>
                <w:rFonts w:ascii="仿宋_GB2312" w:eastAsia="仿宋_GB2312" w:cs="宋体" w:hint="eastAsia"/>
                <w:sz w:val="18"/>
                <w:szCs w:val="18"/>
              </w:rPr>
            </w:pPr>
            <w:r>
              <w:rPr>
                <w:rFonts w:ascii="仿宋_GB2312" w:eastAsia="仿宋_GB2312" w:hint="eastAsia"/>
                <w:sz w:val="18"/>
                <w:szCs w:val="18"/>
              </w:rPr>
              <w:t>工程建设项目招标投标信息　</w:t>
            </w:r>
          </w:p>
          <w:p>
            <w:pPr>
              <w:jc w:val="center"/>
              <w:rPr>
                <w:rFonts w:ascii="仿宋_GB2312" w:eastAsia="仿宋_GB2312" w:cs="宋体" w:hint="eastAsia"/>
                <w:sz w:val="18"/>
                <w:szCs w:val="18"/>
              </w:rPr>
            </w:pPr>
            <w:r>
              <w:rPr>
                <w:rFonts w:ascii="仿宋_GB2312" w:eastAsia="仿宋_GB2312" w:hint="eastAsia"/>
                <w:sz w:val="18"/>
                <w:szCs w:val="18"/>
              </w:rPr>
              <w:t>　</w:t>
            </w:r>
          </w:p>
        </w:tc>
        <w:tc>
          <w:tcPr>
            <w:tcW w:w="776" w:type="dxa"/>
            <w:shd w:val="clear" w:color="auto" w:fill="auto"/>
            <w:vAlign w:val="center"/>
          </w:tcPr>
          <w:p>
            <w:pPr>
              <w:rPr>
                <w:rFonts w:ascii="仿宋_GB2312" w:eastAsia="仿宋_GB2312" w:cs="宋体" w:hint="eastAsia"/>
                <w:sz w:val="18"/>
                <w:szCs w:val="18"/>
              </w:rPr>
            </w:pPr>
            <w:r>
              <w:rPr>
                <w:rFonts w:ascii="仿宋_GB2312" w:eastAsia="仿宋_GB2312" w:hint="eastAsia"/>
                <w:sz w:val="18"/>
                <w:szCs w:val="18"/>
              </w:rPr>
              <w:t>招标公告</w:t>
            </w:r>
          </w:p>
        </w:tc>
        <w:tc>
          <w:tcPr>
            <w:tcW w:w="3364" w:type="dxa"/>
            <w:vAlign w:val="center"/>
          </w:tcPr>
          <w:p>
            <w:pPr>
              <w:rPr>
                <w:rFonts w:ascii="仿宋_GB2312" w:eastAsia="仿宋_GB2312" w:cs="宋体" w:hint="eastAsia"/>
                <w:sz w:val="18"/>
                <w:szCs w:val="18"/>
              </w:rPr>
            </w:pPr>
            <w:r>
              <w:rPr>
                <w:rFonts w:ascii="仿宋_GB2312" w:eastAsia="仿宋_GB2312"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其他依法应当载明的内容。</w:t>
            </w:r>
          </w:p>
        </w:tc>
        <w:tc>
          <w:tcPr>
            <w:tcW w:w="2340" w:type="dxa"/>
            <w:vMerge w:val="restart"/>
            <w:vAlign w:val="center"/>
          </w:tcPr>
          <w:p>
            <w:pPr>
              <w:rPr>
                <w:rFonts w:ascii="仿宋_GB2312" w:eastAsia="仿宋_GB2312" w:hint="eastAsia"/>
                <w:sz w:val="18"/>
                <w:szCs w:val="18"/>
              </w:rPr>
            </w:pPr>
            <w:r>
              <w:rPr>
                <w:rFonts w:ascii="仿宋_GB2312" w:eastAsia="仿宋_GB2312" w:hint="eastAsia"/>
                <w:sz w:val="18"/>
                <w:szCs w:val="18"/>
              </w:rPr>
              <w:t>《招标投标法》、《招标投标法实施条例》、《国务院办公厅关于推进公共资源配置领域政府信息公开的意见》、《招标公告和公示信息发布管理办法》</w:t>
            </w:r>
            <w:bookmarkStart w:id="1" w:name="_GoBack"/>
            <w:bookmarkEnd w:id="1"/>
          </w:p>
        </w:tc>
        <w:tc>
          <w:tcPr>
            <w:tcW w:w="1620" w:type="dxa"/>
            <w:vAlign w:val="center"/>
          </w:tcPr>
          <w:p>
            <w:pPr>
              <w:jc w:val="center"/>
              <w:rPr>
                <w:rFonts w:ascii="仿宋_GB2312" w:eastAsia="仿宋_GB2312" w:hint="eastAsia"/>
                <w:sz w:val="18"/>
                <w:szCs w:val="18"/>
              </w:rPr>
            </w:pPr>
            <w:r>
              <w:rPr>
                <w:rFonts w:ascii="仿宋_GB2312" w:eastAsia="仿宋_GB2312" w:hint="eastAsia"/>
                <w:sz w:val="18"/>
                <w:szCs w:val="18"/>
              </w:rPr>
              <w:t>及时公开</w:t>
            </w:r>
          </w:p>
        </w:tc>
        <w:tc>
          <w:tcPr>
            <w:tcW w:w="956" w:type="dxa"/>
            <w:vAlign w:val="center"/>
          </w:tcPr>
          <w:p>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Align w:val="center"/>
          </w:tcPr>
          <w:p>
            <w:pPr>
              <w:rPr>
                <w:rFonts w:ascii="仿宋_GB2312" w:eastAsia="仿宋_GB2312"/>
                <w:sz w:val="18"/>
                <w:szCs w:val="18"/>
              </w:rPr>
            </w:pP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int="eastAsia"/>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c>
          <w:tcPr>
            <w:tcW w:w="788"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r>
      <w:tr>
        <w:trPr>
          <w:cantSplit/>
        </w:trPr>
        <w:tc>
          <w:tcPr>
            <w:tcW w:w="540" w:type="dxa"/>
            <w:vAlign w:val="center"/>
          </w:tcPr>
          <w:p>
            <w:pPr>
              <w:jc w:val="center"/>
              <w:rPr>
                <w:rFonts w:ascii="仿宋_GB2312" w:eastAsia="仿宋_GB2312" w:cs="宋体" w:hint="eastAsia"/>
                <w:sz w:val="18"/>
                <w:szCs w:val="18"/>
              </w:rPr>
            </w:pPr>
            <w:r>
              <w:rPr>
                <w:rFonts w:ascii="仿宋_GB2312" w:eastAsia="仿宋_GB2312" w:cs="宋体"/>
                <w:sz w:val="18"/>
                <w:szCs w:val="18"/>
              </w:rPr>
              <w:t>2</w:t>
            </w:r>
          </w:p>
        </w:tc>
        <w:tc>
          <w:tcPr>
            <w:tcW w:w="900" w:type="dxa"/>
            <w:vMerge/>
            <w:shd w:val="clear" w:color="auto" w:fill="auto"/>
            <w:vAlign w:val="center"/>
          </w:tcPr>
          <w:p/>
        </w:tc>
        <w:tc>
          <w:tcPr>
            <w:tcW w:w="776" w:type="dxa"/>
            <w:shd w:val="clear" w:color="auto" w:fill="auto"/>
            <w:vAlign w:val="center"/>
          </w:tcPr>
          <w:p>
            <w:pPr>
              <w:rPr>
                <w:rFonts w:ascii="仿宋_GB2312" w:eastAsia="仿宋_GB2312" w:cs="宋体" w:hint="eastAsia"/>
                <w:sz w:val="18"/>
                <w:szCs w:val="18"/>
              </w:rPr>
            </w:pPr>
            <w:r>
              <w:rPr>
                <w:rFonts w:ascii="仿宋_GB2312" w:eastAsia="仿宋_GB2312" w:hint="eastAsia"/>
                <w:sz w:val="18"/>
                <w:szCs w:val="18"/>
              </w:rPr>
              <w:t>中标候选人公示</w:t>
            </w:r>
            <w:r>
              <w:rPr>
                <w:rFonts w:ascii="仿宋_GB2312" w:eastAsia="仿宋_GB2312"/>
                <w:sz w:val="18"/>
                <w:szCs w:val="18"/>
              </w:rPr>
              <w:t xml:space="preserve"> </w:t>
            </w:r>
          </w:p>
        </w:tc>
        <w:tc>
          <w:tcPr>
            <w:tcW w:w="3364" w:type="dxa"/>
            <w:vAlign w:val="center"/>
          </w:tcPr>
          <w:p>
            <w:pPr>
              <w:rPr>
                <w:rFonts w:ascii="仿宋_GB2312" w:eastAsia="仿宋_GB2312" w:cs="宋体" w:hint="eastAsia"/>
                <w:sz w:val="18"/>
                <w:szCs w:val="18"/>
              </w:rPr>
            </w:pPr>
            <w:r>
              <w:rPr>
                <w:rFonts w:ascii="仿宋_GB2312" w:eastAsia="仿宋_GB2312" w:hint="eastAsia"/>
                <w:sz w:val="18"/>
                <w:szCs w:val="18"/>
              </w:rPr>
              <w:t>中标候选人排序、名称、投标报价</w:t>
            </w:r>
            <w:r>
              <w:rPr>
                <w:rFonts w:ascii="仿宋_GB2312" w:eastAsia="仿宋_GB2312"/>
                <w:sz w:val="18"/>
                <w:szCs w:val="18"/>
              </w:rPr>
              <w:t>、</w:t>
            </w:r>
            <w:r>
              <w:rPr>
                <w:rFonts w:ascii="仿宋_GB2312" w:eastAsia="仿宋_GB2312" w:hint="eastAsia"/>
                <w:sz w:val="18"/>
                <w:szCs w:val="18"/>
              </w:rPr>
              <w:t>工期（交货期）；中标候选人按照招标文件要求承诺的项目负责人姓名及其相关证书名称和编号；中标候选人响应招标文件要求的资格能力条件；</w:t>
              <w:br/>
              <w:t>招标文件规定公示的其他内容。</w:t>
            </w:r>
          </w:p>
        </w:tc>
        <w:tc>
          <w:tcPr>
            <w:tcW w:w="2340" w:type="dxa"/>
            <w:vMerge/>
            <w:vAlign w:val="center"/>
          </w:tcPr>
          <w:p/>
        </w:tc>
        <w:tc>
          <w:tcPr>
            <w:tcW w:w="1620" w:type="dxa"/>
            <w:vAlign w:val="center"/>
          </w:tcPr>
          <w:p>
            <w:pPr>
              <w:rPr>
                <w:rFonts w:ascii="仿宋_GB2312" w:eastAsia="仿宋_GB2312" w:hint="eastAsia"/>
                <w:sz w:val="18"/>
                <w:szCs w:val="18"/>
              </w:rPr>
            </w:pPr>
            <w:r>
              <w:rPr>
                <w:rFonts w:ascii="仿宋_GB2312" w:eastAsia="仿宋_GB2312" w:hint="eastAsia"/>
                <w:sz w:val="18"/>
                <w:szCs w:val="18"/>
              </w:rPr>
              <w:t>依法必须进行招标的项目，招标人应当自收到评标报告之日起3日内公示中标候选人，公示期不得少于3日</w:t>
            </w:r>
          </w:p>
        </w:tc>
        <w:tc>
          <w:tcPr>
            <w:tcW w:w="956" w:type="dxa"/>
            <w:vAlign w:val="center"/>
          </w:tcPr>
          <w:p>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Align w:val="center"/>
          </w:tcPr>
          <w:p>
            <w:pPr>
              <w:rPr>
                <w:rFonts w:ascii="仿宋_GB2312" w:eastAsia="仿宋_GB2312"/>
                <w:sz w:val="18"/>
                <w:szCs w:val="18"/>
              </w:rPr>
            </w:pP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int="eastAsia"/>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c>
          <w:tcPr>
            <w:tcW w:w="788"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r>
      <w:tr>
        <w:trPr>
          <w:cantSplit/>
        </w:trPr>
        <w:tc>
          <w:tcPr>
            <w:tcW w:w="540" w:type="dxa"/>
            <w:vAlign w:val="center"/>
          </w:tcPr>
          <w:p>
            <w:pPr>
              <w:jc w:val="center"/>
              <w:rPr>
                <w:rFonts w:ascii="仿宋_GB2312" w:eastAsia="仿宋_GB2312" w:hint="eastAsia"/>
                <w:sz w:val="18"/>
                <w:szCs w:val="18"/>
              </w:rPr>
            </w:pPr>
            <w:r>
              <w:rPr>
                <w:rFonts w:ascii="仿宋_GB2312" w:eastAsia="仿宋_GB2312"/>
                <w:sz w:val="18"/>
                <w:szCs w:val="18"/>
              </w:rPr>
              <w:t>3</w:t>
            </w:r>
          </w:p>
        </w:tc>
        <w:tc>
          <w:tcPr>
            <w:tcW w:w="900" w:type="dxa"/>
            <w:shd w:val="clear" w:color="auto" w:fill="auto"/>
            <w:vAlign w:val="center"/>
          </w:tcPr>
          <w:p>
            <w:pPr>
              <w:jc w:val="center"/>
              <w:rPr>
                <w:rFonts w:ascii="仿宋_GB2312" w:eastAsia="仿宋_GB2312" w:hint="eastAsia"/>
                <w:sz w:val="18"/>
                <w:szCs w:val="18"/>
              </w:rPr>
            </w:pPr>
            <w:r>
              <w:rPr>
                <w:rFonts w:ascii="仿宋_GB2312" w:eastAsia="仿宋_GB2312" w:hint="eastAsia"/>
                <w:sz w:val="18"/>
                <w:szCs w:val="18"/>
              </w:rPr>
              <w:t>工程建设项目招标投标信息　</w:t>
            </w:r>
          </w:p>
        </w:tc>
        <w:tc>
          <w:tcPr>
            <w:tcW w:w="776" w:type="dxa"/>
            <w:shd w:val="clear" w:color="auto" w:fill="auto"/>
            <w:vAlign w:val="center"/>
          </w:tcPr>
          <w:p>
            <w:pPr>
              <w:rPr>
                <w:rFonts w:ascii="仿宋_GB2312" w:eastAsia="仿宋_GB2312" w:hint="eastAsia"/>
                <w:sz w:val="18"/>
                <w:szCs w:val="18"/>
              </w:rPr>
            </w:pPr>
            <w:r>
              <w:rPr>
                <w:rFonts w:ascii="仿宋_GB2312" w:eastAsia="仿宋_GB2312" w:hint="eastAsia"/>
                <w:sz w:val="18"/>
                <w:szCs w:val="18"/>
              </w:rPr>
              <w:t>中标结果</w:t>
            </w:r>
          </w:p>
        </w:tc>
        <w:tc>
          <w:tcPr>
            <w:tcW w:w="3364" w:type="dxa"/>
            <w:vAlign w:val="center"/>
          </w:tcPr>
          <w:p>
            <w:pPr>
              <w:rPr>
                <w:rFonts w:ascii="仿宋_GB2312" w:eastAsia="仿宋_GB2312" w:hint="eastAsia"/>
                <w:sz w:val="18"/>
                <w:szCs w:val="18"/>
              </w:rPr>
            </w:pPr>
            <w:r>
              <w:rPr>
                <w:rFonts w:ascii="仿宋_GB2312" w:eastAsia="仿宋_GB2312" w:hint="eastAsia"/>
                <w:sz w:val="18"/>
                <w:szCs w:val="18"/>
              </w:rPr>
              <w:t>招标项目名称、中标人名称、中标价、工期、项目负责人、中标内容。</w:t>
            </w:r>
          </w:p>
        </w:tc>
        <w:tc>
          <w:tcPr>
            <w:tcW w:w="2340" w:type="dxa"/>
            <w:vAlign w:val="center"/>
          </w:tcPr>
          <w:p>
            <w:pPr>
              <w:rPr>
                <w:rFonts w:ascii="仿宋_GB2312" w:eastAsia="仿宋_GB2312" w:hint="eastAsia"/>
                <w:sz w:val="18"/>
                <w:szCs w:val="18"/>
              </w:rPr>
            </w:pPr>
            <w:r>
              <w:rPr>
                <w:rFonts w:ascii="仿宋_GB2312" w:eastAsia="仿宋_GB2312" w:hint="eastAsia"/>
                <w:sz w:val="18"/>
                <w:szCs w:val="18"/>
              </w:rPr>
              <w:t xml:space="preserve">《国务院办公厅关于推进公共资源配置领域政府信息公开的意见》、《招标公告和公示信息发布管理办法》 </w:t>
            </w:r>
          </w:p>
        </w:tc>
        <w:tc>
          <w:tcPr>
            <w:tcW w:w="1620" w:type="dxa"/>
            <w:vAlign w:val="center"/>
          </w:tcPr>
          <w:p>
            <w:pPr>
              <w:jc w:val="center"/>
              <w:rPr>
                <w:rFonts w:ascii="仿宋_GB2312" w:eastAsia="仿宋_GB2312" w:hint="eastAsia"/>
                <w:sz w:val="18"/>
                <w:szCs w:val="18"/>
              </w:rPr>
            </w:pPr>
            <w:r>
              <w:rPr>
                <w:rFonts w:ascii="仿宋_GB2312" w:eastAsia="仿宋_GB2312" w:hint="eastAsia"/>
                <w:sz w:val="18"/>
                <w:szCs w:val="18"/>
              </w:rPr>
              <w:t>及时公开</w:t>
            </w:r>
          </w:p>
        </w:tc>
        <w:tc>
          <w:tcPr>
            <w:tcW w:w="956" w:type="dxa"/>
            <w:vAlign w:val="center"/>
          </w:tcPr>
          <w:p>
            <w:pPr>
              <w:rPr>
                <w:rFonts w:ascii="仿宋_GB2312" w:eastAsia="仿宋_GB2312"/>
                <w:sz w:val="18"/>
                <w:szCs w:val="18"/>
              </w:rPr>
            </w:pPr>
            <w:r>
              <w:rPr>
                <w:rFonts w:ascii="仿宋_GB2312" w:eastAsia="仿宋_GB2312" w:hint="eastAsia"/>
                <w:sz w:val="18"/>
                <w:szCs w:val="18"/>
              </w:rPr>
              <w:t>招标人或者其委托的招标代理机构</w:t>
            </w:r>
          </w:p>
        </w:tc>
        <w:tc>
          <w:tcPr>
            <w:tcW w:w="1856" w:type="dxa"/>
            <w:vAlign w:val="center"/>
          </w:tcPr>
          <w:p>
            <w:pPr>
              <w:rPr>
                <w:rFonts w:ascii="仿宋_GB2312" w:eastAsia="仿宋_GB2312"/>
                <w:sz w:val="18"/>
                <w:szCs w:val="18"/>
              </w:rPr>
            </w:pP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int="eastAsia"/>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c>
          <w:tcPr>
            <w:tcW w:w="788"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w:t>
            </w:r>
          </w:p>
        </w:tc>
        <w:tc>
          <w:tcPr>
            <w:tcW w:w="900" w:type="dxa"/>
            <w:shd w:val="clear" w:color="auto" w:fill="auto"/>
            <w:vAlign w:val="center"/>
          </w:tcPr>
          <w:p>
            <w:pPr>
              <w:jc w:val="center"/>
              <w:rPr>
                <w:rFonts w:ascii="仿宋_GB2312" w:eastAsia="仿宋_GB2312"/>
                <w:sz w:val="18"/>
                <w:szCs w:val="18"/>
              </w:rPr>
            </w:pPr>
            <w:r>
              <w:rPr>
                <w:rFonts w:ascii="仿宋_GB2312" w:eastAsia="仿宋_GB2312" w:hint="eastAsia"/>
                <w:sz w:val="18"/>
                <w:szCs w:val="18"/>
              </w:rPr>
              <w:t>　</w:t>
            </w:r>
          </w:p>
        </w:tc>
      </w:tr>
    </w:tbl>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altName w:val="Arial Unicode MS"/>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305</TotalTime>
  <Application>Yozo_Office27021597764231179</Application>
  <Pages>2</Pages>
  <Words>640</Words>
  <Characters>640</Characters>
  <Lines>110</Lines>
  <Paragraphs>47</Paragraphs>
  <CharactersWithSpaces>655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tai yuzhu</dc:creator>
  <cp:lastModifiedBy>Administrator</cp:lastModifiedBy>
  <cp:revision>2</cp:revision>
  <dcterms:created xsi:type="dcterms:W3CDTF">2020-03-06T04:04:00Z</dcterms:created>
  <dcterms:modified xsi:type="dcterms:W3CDTF">2020-11-13T08:41:38Z</dcterms:modified>
</cp:coreProperties>
</file>