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645"/>
        <w:gridCol w:w="705"/>
        <w:gridCol w:w="1833"/>
        <w:gridCol w:w="1782"/>
        <w:gridCol w:w="2685"/>
        <w:gridCol w:w="960"/>
        <w:gridCol w:w="840"/>
        <w:gridCol w:w="690"/>
        <w:gridCol w:w="1005"/>
        <w:gridCol w:w="1065"/>
        <w:gridCol w:w="735"/>
        <w:gridCol w:w="705"/>
        <w:gridCol w:w="570"/>
        <w:gridCol w:w="915"/>
      </w:tblGrid>
      <w:tr w14:paraId="6C61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920" w:type="dxa"/>
            <w:gridSpan w:val="15"/>
            <w:tcBorders>
              <w:top w:val="nil"/>
              <w:left w:val="nil"/>
              <w:bottom w:val="nil"/>
              <w:right w:val="nil"/>
            </w:tcBorders>
            <w:noWrap w:val="0"/>
            <w:vAlign w:val="center"/>
          </w:tcPr>
          <w:p w14:paraId="74AB0F3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包头市昆都仑区卜尔汉图镇主动公开事项目录</w:t>
            </w:r>
          </w:p>
        </w:tc>
      </w:tr>
      <w:tr w14:paraId="66CA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135" w:type="dxa"/>
            <w:gridSpan w:val="3"/>
            <w:tcBorders>
              <w:top w:val="single" w:color="000000" w:sz="4" w:space="0"/>
              <w:left w:val="single" w:color="000000" w:sz="4" w:space="0"/>
              <w:bottom w:val="single" w:color="000000" w:sz="4" w:space="0"/>
              <w:right w:val="single" w:color="000000" w:sz="4" w:space="0"/>
            </w:tcBorders>
            <w:noWrap w:val="0"/>
            <w:vAlign w:val="center"/>
          </w:tcPr>
          <w:p w14:paraId="5CDB7C45">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公开事项</w:t>
            </w:r>
          </w:p>
        </w:tc>
        <w:tc>
          <w:tcPr>
            <w:tcW w:w="18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74AF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公开内容（要素）</w:t>
            </w:r>
          </w:p>
        </w:tc>
        <w:tc>
          <w:tcPr>
            <w:tcW w:w="1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82F0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公开依据</w:t>
            </w:r>
          </w:p>
        </w:tc>
        <w:tc>
          <w:tcPr>
            <w:tcW w:w="2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F6AA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条款内容</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D00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依据效力位阶</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D27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 时限</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79B6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公开主体</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E3B5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事项类别</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(法定公</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开、其他)</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A08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公开渠道</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和载体</w:t>
            </w: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3A79F3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公开对象</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530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责任科室</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809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对应职责</w:t>
            </w:r>
          </w:p>
        </w:tc>
      </w:tr>
      <w:tr w14:paraId="409F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4F49B5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一级事项</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B99A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二级事项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ACA95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三级事项</w:t>
            </w:r>
          </w:p>
        </w:tc>
        <w:tc>
          <w:tcPr>
            <w:tcW w:w="18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6CA08">
            <w:pPr>
              <w:jc w:val="center"/>
              <w:rPr>
                <w:rFonts w:hint="eastAsia" w:ascii="仿宋_GB2312" w:hAnsi="宋体" w:eastAsia="仿宋_GB2312" w:cs="仿宋_GB2312"/>
                <w:i w:val="0"/>
                <w:iCs w:val="0"/>
                <w:color w:val="000000"/>
                <w:sz w:val="20"/>
                <w:szCs w:val="20"/>
                <w:u w:val="none"/>
              </w:rPr>
            </w:pPr>
          </w:p>
        </w:tc>
        <w:tc>
          <w:tcPr>
            <w:tcW w:w="1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11CAE">
            <w:pPr>
              <w:jc w:val="center"/>
              <w:rPr>
                <w:rFonts w:hint="eastAsia" w:ascii="仿宋_GB2312" w:hAnsi="宋体" w:eastAsia="仿宋_GB2312" w:cs="仿宋_GB2312"/>
                <w:i w:val="0"/>
                <w:iCs w:val="0"/>
                <w:color w:val="000000"/>
                <w:sz w:val="20"/>
                <w:szCs w:val="20"/>
                <w:u w:val="none"/>
              </w:rPr>
            </w:pPr>
          </w:p>
        </w:tc>
        <w:tc>
          <w:tcPr>
            <w:tcW w:w="2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3AA92">
            <w:pPr>
              <w:jc w:val="center"/>
              <w:rPr>
                <w:rFonts w:hint="eastAsia" w:ascii="仿宋_GB2312" w:hAnsi="宋体" w:eastAsia="仿宋_GB2312" w:cs="仿宋_GB2312"/>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E92DC">
            <w:pPr>
              <w:jc w:val="center"/>
              <w:rPr>
                <w:rFonts w:hint="eastAsia" w:ascii="仿宋_GB2312" w:hAnsi="宋体" w:eastAsia="仿宋_GB2312" w:cs="仿宋_GB2312"/>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35358">
            <w:pPr>
              <w:jc w:val="center"/>
              <w:rPr>
                <w:rFonts w:hint="eastAsia" w:ascii="仿宋_GB2312" w:hAnsi="宋体" w:eastAsia="仿宋_GB2312" w:cs="仿宋_GB2312"/>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8B903">
            <w:pPr>
              <w:jc w:val="center"/>
              <w:rPr>
                <w:rFonts w:hint="eastAsia" w:ascii="仿宋_GB2312" w:hAnsi="宋体" w:eastAsia="仿宋_GB2312" w:cs="仿宋_GB2312"/>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4079B">
            <w:pPr>
              <w:jc w:val="center"/>
              <w:rPr>
                <w:rFonts w:hint="eastAsia" w:ascii="仿宋_GB2312" w:hAnsi="宋体" w:eastAsia="仿宋_GB2312" w:cs="仿宋_GB2312"/>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C69A2">
            <w:pPr>
              <w:jc w:val="center"/>
              <w:rPr>
                <w:rFonts w:hint="eastAsia" w:ascii="仿宋_GB2312" w:hAnsi="宋体" w:eastAsia="仿宋_GB2312" w:cs="仿宋_GB2312"/>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4231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全社会</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00D4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特定群体</w:t>
            </w: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C67A6">
            <w:pPr>
              <w:jc w:val="center"/>
              <w:rPr>
                <w:rFonts w:hint="eastAsia" w:ascii="仿宋_GB2312" w:hAnsi="宋体" w:eastAsia="仿宋_GB2312" w:cs="仿宋_GB2312"/>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CD71A">
            <w:pPr>
              <w:jc w:val="center"/>
              <w:rPr>
                <w:rFonts w:hint="eastAsia" w:ascii="仿宋_GB2312" w:hAnsi="宋体" w:eastAsia="仿宋_GB2312" w:cs="仿宋_GB2312"/>
                <w:i w:val="0"/>
                <w:iCs w:val="0"/>
                <w:color w:val="000000"/>
                <w:sz w:val="20"/>
                <w:szCs w:val="20"/>
                <w:u w:val="none"/>
              </w:rPr>
            </w:pPr>
          </w:p>
        </w:tc>
      </w:tr>
      <w:tr w14:paraId="111B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0" w:hRule="atLeast"/>
        </w:trPr>
        <w:tc>
          <w:tcPr>
            <w:tcW w:w="785" w:type="dxa"/>
            <w:tcBorders>
              <w:top w:val="single" w:color="000000" w:sz="4" w:space="0"/>
              <w:left w:val="single" w:color="000000" w:sz="4" w:space="0"/>
              <w:bottom w:val="nil"/>
              <w:right w:val="single" w:color="000000" w:sz="4" w:space="0"/>
            </w:tcBorders>
            <w:noWrap w:val="0"/>
            <w:vAlign w:val="center"/>
          </w:tcPr>
          <w:p w14:paraId="068638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政府信息公开工作年度报告</w:t>
            </w:r>
          </w:p>
        </w:tc>
        <w:tc>
          <w:tcPr>
            <w:tcW w:w="645" w:type="dxa"/>
            <w:tcBorders>
              <w:top w:val="single" w:color="000000" w:sz="4" w:space="0"/>
              <w:left w:val="single" w:color="000000" w:sz="4" w:space="0"/>
              <w:bottom w:val="nil"/>
              <w:right w:val="single" w:color="000000" w:sz="4" w:space="0"/>
            </w:tcBorders>
            <w:noWrap w:val="0"/>
            <w:vAlign w:val="center"/>
          </w:tcPr>
          <w:p w14:paraId="5F31B2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卜尔汉图镇政府信息公开工作年度报告</w:t>
            </w:r>
          </w:p>
        </w:tc>
        <w:tc>
          <w:tcPr>
            <w:tcW w:w="705" w:type="dxa"/>
            <w:tcBorders>
              <w:top w:val="single" w:color="000000" w:sz="4" w:space="0"/>
              <w:left w:val="single" w:color="000000" w:sz="4" w:space="0"/>
              <w:bottom w:val="nil"/>
              <w:right w:val="single" w:color="000000" w:sz="4" w:space="0"/>
            </w:tcBorders>
            <w:noWrap w:val="0"/>
            <w:vAlign w:val="center"/>
          </w:tcPr>
          <w:p w14:paraId="5F29E5FB">
            <w:pPr>
              <w:rPr>
                <w:rFonts w:hint="eastAsia" w:ascii="仿宋_GB2312" w:hAnsi="宋体" w:eastAsia="仿宋_GB2312" w:cs="仿宋_GB2312"/>
                <w:i w:val="0"/>
                <w:iCs w:val="0"/>
                <w:color w:val="000000"/>
                <w:sz w:val="20"/>
                <w:szCs w:val="20"/>
                <w:u w:val="none"/>
              </w:rPr>
            </w:pPr>
          </w:p>
        </w:tc>
        <w:tc>
          <w:tcPr>
            <w:tcW w:w="1833" w:type="dxa"/>
            <w:tcBorders>
              <w:top w:val="single" w:color="000000" w:sz="4" w:space="0"/>
              <w:left w:val="single" w:color="000000" w:sz="4" w:space="0"/>
              <w:bottom w:val="nil"/>
              <w:right w:val="single" w:color="000000" w:sz="4" w:space="0"/>
            </w:tcBorders>
            <w:noWrap w:val="0"/>
            <w:vAlign w:val="center"/>
          </w:tcPr>
          <w:p w14:paraId="2FA2FF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政府信息公开总体情况、主动公开政府信息情况、收到和处理政府信息公开申请情况、政府信息公开行政复议、行政诉讼情况、存在的主要问题及改进情况、其他需要报告的事项等。</w:t>
            </w:r>
          </w:p>
        </w:tc>
        <w:tc>
          <w:tcPr>
            <w:tcW w:w="1782" w:type="dxa"/>
            <w:tcBorders>
              <w:top w:val="single" w:color="000000" w:sz="4" w:space="0"/>
              <w:left w:val="single" w:color="000000" w:sz="4" w:space="0"/>
              <w:bottom w:val="nil"/>
              <w:right w:val="single" w:color="000000" w:sz="4" w:space="0"/>
            </w:tcBorders>
            <w:noWrap w:val="0"/>
            <w:vAlign w:val="center"/>
          </w:tcPr>
          <w:p w14:paraId="6A6357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《中华人民共和国政府信息公开条例》</w:t>
            </w:r>
          </w:p>
        </w:tc>
        <w:tc>
          <w:tcPr>
            <w:tcW w:w="2685" w:type="dxa"/>
            <w:tcBorders>
              <w:top w:val="single" w:color="000000" w:sz="4" w:space="0"/>
              <w:left w:val="single" w:color="000000" w:sz="4" w:space="0"/>
              <w:bottom w:val="nil"/>
              <w:right w:val="single" w:color="000000" w:sz="4" w:space="0"/>
            </w:tcBorders>
            <w:noWrap w:val="0"/>
            <w:vAlign w:val="center"/>
          </w:tcPr>
          <w:p w14:paraId="5BF7D5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第五十条 政府信息公开工作年度报告应当包括下列内容：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（一）行政机关主动公开政府信息的情况；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（二）行政机关收到和处理政府信息公开申请的情况；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（三）因政府信息公开工作被申请行政复议、提起行政诉讼的情况；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（四）政府信息公开工作存在的主要问题及改进情况，各级人民政府的政府信息公开工作年度报告还应当包括工作考核、社会评议和责任追究结果情况；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（五）其他需要报告的事项。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全国政府信息公开工作主管部门应当公布政府信息公开工作年度报告统一格式，并适时更新。</w:t>
            </w:r>
          </w:p>
        </w:tc>
        <w:tc>
          <w:tcPr>
            <w:tcW w:w="960" w:type="dxa"/>
            <w:tcBorders>
              <w:top w:val="single" w:color="000000" w:sz="4" w:space="0"/>
              <w:left w:val="single" w:color="000000" w:sz="4" w:space="0"/>
              <w:bottom w:val="nil"/>
              <w:right w:val="single" w:color="000000" w:sz="4" w:space="0"/>
            </w:tcBorders>
            <w:noWrap w:val="0"/>
            <w:vAlign w:val="center"/>
          </w:tcPr>
          <w:p w14:paraId="77AF69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w:t>
            </w:r>
          </w:p>
        </w:tc>
        <w:tc>
          <w:tcPr>
            <w:tcW w:w="840" w:type="dxa"/>
            <w:tcBorders>
              <w:top w:val="single" w:color="000000" w:sz="4" w:space="0"/>
              <w:left w:val="single" w:color="000000" w:sz="4" w:space="0"/>
              <w:bottom w:val="nil"/>
              <w:right w:val="single" w:color="000000" w:sz="4" w:space="0"/>
            </w:tcBorders>
            <w:noWrap w:val="0"/>
            <w:vAlign w:val="center"/>
          </w:tcPr>
          <w:p w14:paraId="05FFED5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每年1月31日前</w:t>
            </w:r>
          </w:p>
        </w:tc>
        <w:tc>
          <w:tcPr>
            <w:tcW w:w="690" w:type="dxa"/>
            <w:tcBorders>
              <w:top w:val="single" w:color="000000" w:sz="4" w:space="0"/>
              <w:left w:val="single" w:color="000000" w:sz="4" w:space="0"/>
              <w:bottom w:val="nil"/>
              <w:right w:val="single" w:color="000000" w:sz="4" w:space="0"/>
            </w:tcBorders>
            <w:noWrap w:val="0"/>
            <w:vAlign w:val="center"/>
          </w:tcPr>
          <w:p w14:paraId="569D2D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w:t>
            </w:r>
          </w:p>
        </w:tc>
        <w:tc>
          <w:tcPr>
            <w:tcW w:w="1005" w:type="dxa"/>
            <w:tcBorders>
              <w:top w:val="single" w:color="000000" w:sz="4" w:space="0"/>
              <w:left w:val="single" w:color="000000" w:sz="4" w:space="0"/>
              <w:bottom w:val="nil"/>
              <w:right w:val="single" w:color="000000" w:sz="4" w:space="0"/>
            </w:tcBorders>
            <w:noWrap w:val="0"/>
            <w:vAlign w:val="center"/>
          </w:tcPr>
          <w:p w14:paraId="1FC80B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法定公开事项</w:t>
            </w:r>
          </w:p>
        </w:tc>
        <w:tc>
          <w:tcPr>
            <w:tcW w:w="1065" w:type="dxa"/>
            <w:tcBorders>
              <w:top w:val="single" w:color="000000" w:sz="4" w:space="0"/>
              <w:left w:val="single" w:color="000000" w:sz="4" w:space="0"/>
              <w:bottom w:val="nil"/>
              <w:right w:val="single" w:color="000000" w:sz="4" w:space="0"/>
            </w:tcBorders>
            <w:noWrap w:val="0"/>
            <w:vAlign w:val="center"/>
          </w:tcPr>
          <w:p w14:paraId="52BC93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政府网站</w:t>
            </w:r>
          </w:p>
        </w:tc>
        <w:tc>
          <w:tcPr>
            <w:tcW w:w="735" w:type="dxa"/>
            <w:tcBorders>
              <w:top w:val="single" w:color="000000" w:sz="4" w:space="0"/>
              <w:left w:val="nil"/>
              <w:bottom w:val="nil"/>
              <w:right w:val="single" w:color="000000" w:sz="4" w:space="0"/>
            </w:tcBorders>
            <w:noWrap/>
            <w:vAlign w:val="center"/>
          </w:tcPr>
          <w:p w14:paraId="442FFD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705" w:type="dxa"/>
            <w:tcBorders>
              <w:top w:val="single" w:color="000000" w:sz="4" w:space="0"/>
              <w:left w:val="single" w:color="000000" w:sz="4" w:space="0"/>
              <w:bottom w:val="nil"/>
              <w:right w:val="single" w:color="000000" w:sz="4" w:space="0"/>
            </w:tcBorders>
            <w:noWrap w:val="0"/>
            <w:vAlign w:val="center"/>
          </w:tcPr>
          <w:p w14:paraId="260D0363">
            <w:pPr>
              <w:jc w:val="center"/>
              <w:rPr>
                <w:rFonts w:hint="eastAsia" w:ascii="仿宋_GB2312" w:hAnsi="宋体" w:eastAsia="仿宋_GB2312" w:cs="仿宋_GB2312"/>
                <w:i w:val="0"/>
                <w:iCs w:val="0"/>
                <w:color w:val="000000"/>
                <w:sz w:val="20"/>
                <w:szCs w:val="20"/>
                <w:u w:val="none"/>
              </w:rPr>
            </w:pPr>
          </w:p>
        </w:tc>
        <w:tc>
          <w:tcPr>
            <w:tcW w:w="570" w:type="dxa"/>
            <w:tcBorders>
              <w:top w:val="single" w:color="000000" w:sz="4" w:space="0"/>
              <w:left w:val="single" w:color="000000" w:sz="4" w:space="0"/>
              <w:bottom w:val="nil"/>
              <w:right w:val="single" w:color="000000" w:sz="4" w:space="0"/>
            </w:tcBorders>
            <w:noWrap w:val="0"/>
            <w:vAlign w:val="center"/>
          </w:tcPr>
          <w:p w14:paraId="24875C9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党群服务中心</w:t>
            </w:r>
          </w:p>
        </w:tc>
        <w:tc>
          <w:tcPr>
            <w:tcW w:w="915" w:type="dxa"/>
            <w:tcBorders>
              <w:top w:val="single" w:color="000000" w:sz="4" w:space="0"/>
              <w:left w:val="single" w:color="000000" w:sz="4" w:space="0"/>
              <w:bottom w:val="nil"/>
              <w:right w:val="single" w:color="000000" w:sz="4" w:space="0"/>
            </w:tcBorders>
            <w:noWrap w:val="0"/>
            <w:vAlign w:val="center"/>
          </w:tcPr>
          <w:p w14:paraId="23F89F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对镇政府信息进行收集整理、编制发布。</w:t>
            </w:r>
          </w:p>
        </w:tc>
      </w:tr>
      <w:tr w14:paraId="10A5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9C39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机关简介</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9544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机构设置及机构职能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D820C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党政机构设置及职责</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0925D2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包头市昆都仑卜尔汉图镇人民政府内设机构、职责、负责人姓名、办公时间、办公地址、联系电话。</w:t>
            </w:r>
          </w:p>
        </w:tc>
        <w:tc>
          <w:tcPr>
            <w:tcW w:w="1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589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《中华人民共和国政府信息公开条例》</w:t>
            </w:r>
          </w:p>
        </w:tc>
        <w:tc>
          <w:tcPr>
            <w:tcW w:w="2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19F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第十九条　对涉及公众利益调整、需要公众广泛知晓或者需要公众参与决策的政府信息，行政机关应当主动公开。</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第二十条　行政机关应当依照本条例第十九条的规定，主动公开本行政机关的下列政府信息：（二）机关职能、机构设置、办公地址、办公时间、联系方式、负责人姓名。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101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1D34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信息形成或者变更之日起20个工作日内</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2B0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46BF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法定公开事项</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CD16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政府网站</w:t>
            </w:r>
          </w:p>
        </w:tc>
        <w:tc>
          <w:tcPr>
            <w:tcW w:w="735" w:type="dxa"/>
            <w:vMerge w:val="restart"/>
            <w:tcBorders>
              <w:top w:val="single" w:color="000000" w:sz="4" w:space="0"/>
              <w:left w:val="single" w:color="000000" w:sz="4" w:space="0"/>
              <w:bottom w:val="single" w:color="000000" w:sz="4" w:space="0"/>
              <w:right w:val="single" w:color="000000" w:sz="4" w:space="0"/>
            </w:tcBorders>
            <w:noWrap/>
            <w:vAlign w:val="center"/>
          </w:tcPr>
          <w:p w14:paraId="45DEDC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14C13">
            <w:pPr>
              <w:rPr>
                <w:rFonts w:hint="eastAsia" w:ascii="仿宋_GB2312" w:hAnsi="宋体" w:eastAsia="仿宋_GB2312" w:cs="仿宋_GB2312"/>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922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党政综合办公室</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D06A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根据相关文件编制机构设置及职能。</w:t>
            </w:r>
          </w:p>
        </w:tc>
      </w:tr>
      <w:tr w14:paraId="1E58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31AFD">
            <w:pPr>
              <w:rPr>
                <w:rFonts w:hint="eastAsia" w:ascii="仿宋_GB2312" w:hAnsi="宋体"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2FA46">
            <w:pPr>
              <w:rPr>
                <w:rFonts w:hint="eastAsia" w:ascii="仿宋_GB2312" w:hAnsi="宋体" w:eastAsia="仿宋_GB2312" w:cs="仿宋_GB2312"/>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CBB3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所属事业单位机构设置及职责</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55724C5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包头市昆都仑区卜尔汉图镇党群服务中心职能、负责人姓名、内设机构、办公时间、办公地址、联系电话。</w:t>
            </w:r>
          </w:p>
        </w:tc>
        <w:tc>
          <w:tcPr>
            <w:tcW w:w="1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83C1C">
            <w:pPr>
              <w:jc w:val="center"/>
              <w:rPr>
                <w:rFonts w:hint="eastAsia" w:ascii="仿宋_GB2312" w:hAnsi="宋体" w:eastAsia="仿宋_GB2312" w:cs="仿宋_GB2312"/>
                <w:i w:val="0"/>
                <w:iCs w:val="0"/>
                <w:color w:val="000000"/>
                <w:sz w:val="20"/>
                <w:szCs w:val="20"/>
                <w:u w:val="none"/>
              </w:rPr>
            </w:pPr>
          </w:p>
        </w:tc>
        <w:tc>
          <w:tcPr>
            <w:tcW w:w="2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D85A0">
            <w:pPr>
              <w:jc w:val="left"/>
              <w:rPr>
                <w:rFonts w:hint="eastAsia" w:ascii="仿宋_GB2312" w:hAnsi="宋体" w:eastAsia="仿宋_GB2312" w:cs="仿宋_GB2312"/>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25C8A">
            <w:pPr>
              <w:jc w:val="center"/>
              <w:rPr>
                <w:rFonts w:hint="eastAsia" w:ascii="仿宋_GB2312" w:hAnsi="宋体" w:eastAsia="仿宋_GB2312" w:cs="仿宋_GB2312"/>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11EA9">
            <w:pPr>
              <w:rPr>
                <w:rFonts w:hint="eastAsia" w:ascii="仿宋_GB2312" w:hAnsi="宋体" w:eastAsia="仿宋_GB2312" w:cs="仿宋_GB2312"/>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E6E43">
            <w:pPr>
              <w:jc w:val="center"/>
              <w:rPr>
                <w:rFonts w:hint="eastAsia" w:ascii="仿宋_GB2312" w:hAnsi="宋体" w:eastAsia="仿宋_GB2312" w:cs="仿宋_GB2312"/>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7EBC9">
            <w:pPr>
              <w:jc w:val="center"/>
              <w:rPr>
                <w:rFonts w:hint="eastAsia" w:ascii="仿宋_GB2312" w:hAnsi="宋体" w:eastAsia="仿宋_GB2312" w:cs="仿宋_GB2312"/>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2EEBF">
            <w:pPr>
              <w:jc w:val="center"/>
              <w:rPr>
                <w:rFonts w:hint="eastAsia" w:ascii="仿宋_GB2312" w:hAnsi="宋体" w:eastAsia="仿宋_GB2312" w:cs="仿宋_GB2312"/>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766F94E1">
            <w:pPr>
              <w:jc w:val="center"/>
              <w:rPr>
                <w:rFonts w:hint="eastAsia" w:ascii="仿宋_GB2312" w:hAnsi="宋体" w:eastAsia="仿宋_GB2312" w:cs="仿宋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92CAF">
            <w:pPr>
              <w:rPr>
                <w:rFonts w:hint="eastAsia" w:ascii="仿宋_GB2312" w:hAnsi="宋体" w:eastAsia="仿宋_GB2312" w:cs="仿宋_GB2312"/>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A50E6">
            <w:pPr>
              <w:rPr>
                <w:rFonts w:hint="eastAsia" w:ascii="仿宋_GB2312" w:hAnsi="宋体" w:eastAsia="仿宋_GB2312" w:cs="仿宋_GB2312"/>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0158D">
            <w:pPr>
              <w:jc w:val="left"/>
              <w:rPr>
                <w:rFonts w:hint="eastAsia" w:ascii="仿宋_GB2312" w:hAnsi="宋体" w:eastAsia="仿宋_GB2312" w:cs="仿宋_GB2312"/>
                <w:i w:val="0"/>
                <w:iCs w:val="0"/>
                <w:color w:val="000000"/>
                <w:sz w:val="20"/>
                <w:szCs w:val="20"/>
                <w:u w:val="none"/>
              </w:rPr>
            </w:pPr>
          </w:p>
        </w:tc>
      </w:tr>
      <w:tr w14:paraId="2624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278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财务信息</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59AC8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财政预算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C964DD">
            <w:pPr>
              <w:jc w:val="center"/>
              <w:rPr>
                <w:rFonts w:hint="eastAsia" w:ascii="仿宋_GB2312" w:hAnsi="宋体" w:eastAsia="仿宋_GB2312" w:cs="仿宋_GB2312"/>
                <w:i w:val="0"/>
                <w:iCs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368346E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收支总表，收入总表，支出总表，财政拨款收支总表，一般公共预算支出表，一般公共预算三公经费支出表，政府性基金预算支出表，国有资本经营预算支出表，项目支出表，项目绩效目标表，政府采购预算表，部门预算公开报告</w:t>
            </w:r>
          </w:p>
        </w:tc>
        <w:tc>
          <w:tcPr>
            <w:tcW w:w="1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C09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《中华人民共和国政府信息公开条例》</w:t>
            </w:r>
          </w:p>
        </w:tc>
        <w:tc>
          <w:tcPr>
            <w:tcW w:w="2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9F0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第二十条　行政机关应当依照本条例第十九条的规定，主动公开本行政机关的下列政府信息：（七）财政预算、决算信息。</w:t>
            </w:r>
            <w:bookmarkStart w:id="0" w:name="_GoBack"/>
            <w:bookmarkEnd w:id="0"/>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4F5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50049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信息形成或者变更之日起20个工作日内</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02C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9D1F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法定公开事项</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938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政府网站</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AD77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B686A">
            <w:pPr>
              <w:jc w:val="center"/>
              <w:rPr>
                <w:rFonts w:hint="eastAsia" w:ascii="仿宋_GB2312" w:hAnsi="宋体" w:eastAsia="仿宋_GB2312" w:cs="仿宋_GB2312"/>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345B4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党政综合办公室</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485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财政部门负责汇总苏木乡镇财政预（决）算，监督乡镇预算工作执行。指导和监督苏木乡镇财政财务管理工作。</w:t>
            </w:r>
          </w:p>
        </w:tc>
      </w:tr>
      <w:tr w14:paraId="0F36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9EF45">
            <w:pPr>
              <w:jc w:val="center"/>
              <w:rPr>
                <w:rFonts w:hint="eastAsia" w:ascii="仿宋_GB2312" w:hAnsi="宋体" w:eastAsia="仿宋_GB2312" w:cs="仿宋_GB2312"/>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7F17C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财政决算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57C7CC">
            <w:pPr>
              <w:jc w:val="center"/>
              <w:rPr>
                <w:rFonts w:hint="eastAsia" w:ascii="仿宋_GB2312" w:hAnsi="宋体" w:eastAsia="仿宋_GB2312" w:cs="仿宋_GB2312"/>
                <w:i w:val="0"/>
                <w:iCs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72B118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头市昆都仑区卜尔汉图镇人民政府决算报告，财政拨款“三公”经费支出决算表，财政拨款收入支出决算总表，国有资本经营预算财政拨款支出决算率，机构运行经费支出、国有资产占用情况及政府采购支出信息表，收入决算表，收入支出决算总表，一般公共预算财政拨款基本支出决算明细表，一般公共预算财政拨款项目支出决算明细表，一般公共预算财政拨款支出决算表，政府性基金预算财政拨款收入支出决算表，支出决算表</w:t>
            </w:r>
          </w:p>
        </w:tc>
        <w:tc>
          <w:tcPr>
            <w:tcW w:w="1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ADC20">
            <w:pPr>
              <w:jc w:val="center"/>
              <w:rPr>
                <w:rFonts w:hint="eastAsia" w:ascii="仿宋_GB2312" w:hAnsi="宋体" w:eastAsia="仿宋_GB2312" w:cs="仿宋_GB2312"/>
                <w:i w:val="0"/>
                <w:iCs w:val="0"/>
                <w:color w:val="000000"/>
                <w:sz w:val="20"/>
                <w:szCs w:val="20"/>
                <w:u w:val="none"/>
              </w:rPr>
            </w:pPr>
          </w:p>
        </w:tc>
        <w:tc>
          <w:tcPr>
            <w:tcW w:w="2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374A2">
            <w:pPr>
              <w:jc w:val="left"/>
              <w:rPr>
                <w:rFonts w:hint="eastAsia" w:ascii="仿宋_GB2312" w:hAnsi="宋体" w:eastAsia="仿宋_GB2312" w:cs="仿宋_GB2312"/>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B768A">
            <w:pPr>
              <w:jc w:val="center"/>
              <w:rPr>
                <w:rFonts w:hint="eastAsia" w:ascii="仿宋_GB2312" w:hAnsi="宋体" w:eastAsia="仿宋_GB2312" w:cs="仿宋_GB2312"/>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FB561">
            <w:pPr>
              <w:jc w:val="left"/>
              <w:rPr>
                <w:rFonts w:hint="eastAsia" w:ascii="仿宋_GB2312" w:hAnsi="宋体" w:eastAsia="仿宋_GB2312" w:cs="仿宋_GB2312"/>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FF463">
            <w:pPr>
              <w:jc w:val="center"/>
              <w:rPr>
                <w:rFonts w:hint="eastAsia" w:ascii="仿宋_GB2312" w:hAnsi="宋体" w:eastAsia="仿宋_GB2312" w:cs="仿宋_GB2312"/>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1EE56">
            <w:pPr>
              <w:jc w:val="center"/>
              <w:rPr>
                <w:rFonts w:hint="eastAsia" w:ascii="仿宋_GB2312" w:hAnsi="宋体" w:eastAsia="仿宋_GB2312" w:cs="仿宋_GB2312"/>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6544E">
            <w:pPr>
              <w:jc w:val="center"/>
              <w:rPr>
                <w:rFonts w:hint="eastAsia" w:ascii="仿宋_GB2312" w:hAnsi="宋体" w:eastAsia="仿宋_GB2312" w:cs="仿宋_GB2312"/>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69AAE">
            <w:pPr>
              <w:jc w:val="center"/>
              <w:rPr>
                <w:rFonts w:hint="eastAsia" w:ascii="仿宋_GB2312" w:hAnsi="宋体" w:eastAsia="仿宋_GB2312" w:cs="仿宋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61148">
            <w:pPr>
              <w:jc w:val="center"/>
              <w:rPr>
                <w:rFonts w:hint="eastAsia" w:ascii="仿宋_GB2312" w:hAnsi="宋体" w:eastAsia="仿宋_GB2312" w:cs="仿宋_GB2312"/>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C6B8B">
            <w:pPr>
              <w:jc w:val="left"/>
              <w:rPr>
                <w:rFonts w:hint="eastAsia" w:ascii="仿宋_GB2312" w:hAnsi="宋体" w:eastAsia="仿宋_GB2312" w:cs="仿宋_GB2312"/>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4E9E0">
            <w:pPr>
              <w:jc w:val="left"/>
              <w:rPr>
                <w:rFonts w:hint="eastAsia" w:ascii="仿宋_GB2312" w:hAnsi="宋体" w:eastAsia="仿宋_GB2312" w:cs="仿宋_GB2312"/>
                <w:i w:val="0"/>
                <w:iCs w:val="0"/>
                <w:color w:val="000000"/>
                <w:sz w:val="20"/>
                <w:szCs w:val="20"/>
                <w:u w:val="none"/>
              </w:rPr>
            </w:pPr>
          </w:p>
        </w:tc>
      </w:tr>
      <w:tr w14:paraId="1908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176C471C">
            <w:pPr>
              <w:jc w:val="center"/>
              <w:rPr>
                <w:rFonts w:hint="eastAsia" w:ascii="仿宋_GB2312" w:hAnsi="宋体" w:eastAsia="仿宋_GB2312" w:cs="仿宋_GB2312"/>
                <w:i w:val="0"/>
                <w:iCs w:val="0"/>
                <w:color w:val="000000"/>
                <w:sz w:val="20"/>
                <w:szCs w:val="20"/>
                <w:u w:val="none"/>
              </w:rPr>
            </w:pPr>
            <w:r>
              <w:rPr>
                <w:rFonts w:ascii="仿宋_GB2312" w:hAnsi="宋体" w:eastAsia="仿宋_GB2312" w:cs="仿宋_GB2312"/>
                <w:i w:val="0"/>
                <w:iCs w:val="0"/>
                <w:caps w:val="0"/>
                <w:color w:val="212529"/>
                <w:spacing w:val="0"/>
                <w:sz w:val="20"/>
                <w:szCs w:val="20"/>
                <w:shd w:val="clear" w:fill="FFFFFF"/>
              </w:rPr>
              <w:t>重点领域信息</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88A32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3BFFAE">
            <w:pPr>
              <w:jc w:val="center"/>
              <w:rPr>
                <w:rFonts w:hint="eastAsia" w:ascii="仿宋_GB2312" w:hAnsi="宋体" w:eastAsia="仿宋_GB2312" w:cs="仿宋_GB2312"/>
                <w:i w:val="0"/>
                <w:iCs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4D0365D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ascii="仿宋_GB2312" w:hAnsi="宋体" w:eastAsia="仿宋_GB2312" w:cs="仿宋_GB2312"/>
                <w:i w:val="0"/>
                <w:iCs w:val="0"/>
                <w:caps w:val="0"/>
                <w:color w:val="212529"/>
                <w:spacing w:val="0"/>
                <w:sz w:val="20"/>
                <w:szCs w:val="20"/>
                <w:shd w:val="clear" w:fill="FFFFFF"/>
              </w:rPr>
              <w:t>1.镇城乡低保、特困人员救助供养、临时救助等救助政策、措施和实施情况。</w:t>
            </w:r>
            <w:r>
              <w:rPr>
                <w:rFonts w:hint="eastAsia" w:ascii="仿宋_GB2312" w:hAnsi="宋体" w:eastAsia="仿宋_GB2312" w:cs="仿宋_GB2312"/>
                <w:i w:val="0"/>
                <w:iCs w:val="0"/>
                <w:caps w:val="0"/>
                <w:color w:val="212529"/>
                <w:spacing w:val="0"/>
                <w:sz w:val="20"/>
                <w:szCs w:val="20"/>
                <w:shd w:val="clear" w:fill="FFFFFF"/>
              </w:rPr>
              <w:br w:type="textWrapping"/>
            </w:r>
            <w:r>
              <w:rPr>
                <w:rFonts w:hint="eastAsia" w:ascii="仿宋_GB2312" w:hAnsi="宋体" w:eastAsia="仿宋_GB2312" w:cs="仿宋_GB2312"/>
                <w:i w:val="0"/>
                <w:iCs w:val="0"/>
                <w:caps w:val="0"/>
                <w:color w:val="212529"/>
                <w:spacing w:val="0"/>
                <w:sz w:val="20"/>
                <w:szCs w:val="20"/>
                <w:shd w:val="clear" w:fill="FFFFFF"/>
              </w:rPr>
              <w:t>2.镇残疾人补贴等政策、措施和实施情况。</w:t>
            </w:r>
            <w:r>
              <w:rPr>
                <w:rFonts w:hint="eastAsia" w:ascii="仿宋_GB2312" w:hAnsi="宋体" w:eastAsia="仿宋_GB2312" w:cs="仿宋_GB2312"/>
                <w:i w:val="0"/>
                <w:iCs w:val="0"/>
                <w:caps w:val="0"/>
                <w:color w:val="212529"/>
                <w:spacing w:val="0"/>
                <w:sz w:val="20"/>
                <w:szCs w:val="20"/>
                <w:shd w:val="clear" w:fill="FFFFFF"/>
              </w:rPr>
              <w:br w:type="textWrapping"/>
            </w:r>
            <w:r>
              <w:rPr>
                <w:rFonts w:hint="eastAsia" w:ascii="仿宋_GB2312" w:hAnsi="宋体" w:eastAsia="仿宋_GB2312" w:cs="仿宋_GB2312"/>
                <w:i w:val="0"/>
                <w:iCs w:val="0"/>
                <w:caps w:val="0"/>
                <w:color w:val="212529"/>
                <w:spacing w:val="0"/>
                <w:sz w:val="20"/>
                <w:szCs w:val="20"/>
                <w:shd w:val="clear" w:fill="FFFFFF"/>
              </w:rPr>
              <w:t>3.养老服务相关政策实施情况。</w:t>
            </w:r>
            <w:r>
              <w:rPr>
                <w:rFonts w:hint="eastAsia" w:ascii="仿宋_GB2312" w:hAnsi="宋体" w:eastAsia="仿宋_GB2312" w:cs="仿宋_GB2312"/>
                <w:i w:val="0"/>
                <w:iCs w:val="0"/>
                <w:caps w:val="0"/>
                <w:color w:val="212529"/>
                <w:spacing w:val="0"/>
                <w:sz w:val="20"/>
                <w:szCs w:val="20"/>
                <w:shd w:val="clear" w:fill="FFFFFF"/>
              </w:rPr>
              <w:br w:type="textWrapping"/>
            </w:r>
            <w:r>
              <w:rPr>
                <w:rFonts w:hint="eastAsia" w:ascii="仿宋_GB2312" w:hAnsi="宋体" w:eastAsia="仿宋_GB2312" w:cs="仿宋_GB2312"/>
                <w:i w:val="0"/>
                <w:iCs w:val="0"/>
                <w:caps w:val="0"/>
                <w:color w:val="212529"/>
                <w:spacing w:val="0"/>
                <w:sz w:val="20"/>
                <w:szCs w:val="20"/>
                <w:shd w:val="clear" w:fill="FFFFFF"/>
              </w:rPr>
              <w:t>4.就业相关政策实施情况。</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4BA0B7AD">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《中华人民共和国政府信息公开条例》</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0882056E">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《中华人民共和国政府信息公开条例》第二十条（十一）款扶贫、教育、医疗、社会保障、促进就业等方面的政策、措施及其实施情况；</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FDD205">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行政法规</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0BEFCF">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及时公开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AD5AAC3">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卜尔汉图镇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0987A0F">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法定公开事项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2261899">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■社区/企事业单位/村公示栏(电子屏)</w:t>
            </w:r>
            <w:r>
              <w:rPr>
                <w:rFonts w:hint="eastAsia" w:ascii="仿宋_GB2312" w:hAnsi="仿宋_GB2312" w:eastAsia="仿宋_GB2312" w:cs="仿宋_GB2312"/>
                <w:i w:val="0"/>
                <w:iCs w:val="0"/>
                <w:caps w:val="0"/>
                <w:color w:val="212529"/>
                <w:spacing w:val="0"/>
                <w:sz w:val="20"/>
                <w:szCs w:val="20"/>
                <w:shd w:val="clear" w:fill="FFFFFF"/>
              </w:rPr>
              <w:br w:type="textWrapping"/>
            </w:r>
            <w:r>
              <w:rPr>
                <w:rFonts w:hint="eastAsia" w:ascii="仿宋_GB2312" w:hAnsi="仿宋_GB2312" w:eastAsia="仿宋_GB2312" w:cs="仿宋_GB2312"/>
                <w:i w:val="0"/>
                <w:iCs w:val="0"/>
                <w:caps w:val="0"/>
                <w:color w:val="212529"/>
                <w:spacing w:val="0"/>
                <w:sz w:val="20"/>
                <w:szCs w:val="20"/>
                <w:shd w:val="clear" w:fill="FFFFFF"/>
              </w:rPr>
              <w:t>口精准推送 其他</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A9FF30">
            <w:pPr>
              <w:jc w:val="center"/>
              <w:rPr>
                <w:rFonts w:hint="eastAsia" w:ascii="仿宋_GB2312" w:hAnsi="仿宋_GB2312" w:eastAsia="仿宋_GB2312" w:cs="仿宋_GB2312"/>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3037BB">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7782BD0">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相关业务科室</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B7E525B">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相关股室根据相关职能职责及时调整公开各自领域信息并及时公开</w:t>
            </w:r>
          </w:p>
        </w:tc>
      </w:tr>
    </w:tbl>
    <w:p w14:paraId="70045BC5"/>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67CB3"/>
    <w:rsid w:val="31E17A06"/>
    <w:rsid w:val="437C436D"/>
    <w:rsid w:val="44D04DF5"/>
    <w:rsid w:val="49114BAD"/>
    <w:rsid w:val="579D4FE1"/>
    <w:rsid w:val="6C785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1489</Words>
  <Characters>1496</Characters>
  <Lines>0</Lines>
  <Paragraphs>0</Paragraphs>
  <TotalTime>16</TotalTime>
  <ScaleCrop>false</ScaleCrop>
  <LinksUpToDate>false</LinksUpToDate>
  <CharactersWithSpaces>1513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2025-03-11T08:20:00Z</dcterms:created>
  <dc:creator>Administrator</dc:creator>
  <cp:lastModifiedBy>珍</cp:lastModifiedBy>
  <dcterms:modified xsi:type="dcterms:W3CDTF">2025-10-29T04:13:44Z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eyJoZGlkIjoiY2VjNTgxYWVmYTk4ZDEyNDNmNDY3YmEwZWI4Mjc5ZWIiLCJ1c2VySWQiOiI0MzMxNjM2ODAifQ==</vt:lpwstr>
  </property>
  <property fmtid="{D5CDD505-2E9C-101B-9397-08002B2CF9AE}" pid="4" name="ICV">
    <vt:lpwstr>E1EE91CD31D747A9BFC41929D1CACF84_13</vt:lpwstr>
  </property>
</Properties>
</file>