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lang w:val="en-US" w:eastAsia="zh-CN"/>
        </w:rPr>
      </w:pPr>
      <w:bookmarkStart w:id="0" w:name="_Toc24724720"/>
      <w:r>
        <w:rPr>
          <w:rFonts w:hint="eastAsia" w:ascii="方正小标宋_GBK" w:hAnsi="方正小标宋_GBK" w:eastAsia="方正小标宋_GBK"/>
          <w:b w:val="0"/>
          <w:bCs w:val="0"/>
          <w:sz w:val="30"/>
        </w:rPr>
        <w:t>（十七）市政服务领域基层政务公开标准目录</w:t>
      </w:r>
      <w:bookmarkEnd w:id="0"/>
      <w:r>
        <w:rPr>
          <w:rFonts w:hint="eastAsia" w:ascii="方正小标宋_GBK" w:hAnsi="方正小标宋_GBK" w:eastAsia="方正小标宋_GBK"/>
          <w:b w:val="0"/>
          <w:bCs w:val="0"/>
          <w:sz w:val="30"/>
          <w:lang w:val="en-US" w:eastAsia="zh-CN"/>
        </w:rPr>
        <w:t>(住建局）</w:t>
      </w:r>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01"/>
        <w:gridCol w:w="1159"/>
        <w:gridCol w:w="1980"/>
        <w:gridCol w:w="1800"/>
        <w:gridCol w:w="1620"/>
        <w:gridCol w:w="1800"/>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1001"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项</w:t>
            </w:r>
          </w:p>
        </w:tc>
        <w:tc>
          <w:tcPr>
            <w:tcW w:w="115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1001"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城镇燃气管理</w:t>
            </w:r>
          </w:p>
        </w:tc>
        <w:tc>
          <w:tcPr>
            <w:tcW w:w="1159"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燃气经营许可证核发</w:t>
            </w:r>
          </w:p>
        </w:tc>
        <w:tc>
          <w:tcPr>
            <w:tcW w:w="1980"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xml:space="preserve">  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法定依据   </w:t>
            </w:r>
          </w:p>
        </w:tc>
        <w:tc>
          <w:tcPr>
            <w:tcW w:w="1800" w:type="dxa"/>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《城镇燃气管理条例》、《包头市燃气管理条例》</w:t>
            </w:r>
          </w:p>
        </w:tc>
        <w:tc>
          <w:tcPr>
            <w:tcW w:w="1620" w:type="dxa"/>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20个工作日</w:t>
            </w:r>
          </w:p>
        </w:tc>
        <w:tc>
          <w:tcPr>
            <w:tcW w:w="1800" w:type="dxa"/>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昆都仑区住房和城乡建设局</w:t>
            </w:r>
          </w:p>
        </w:tc>
        <w:tc>
          <w:tcPr>
            <w:tcW w:w="1440" w:type="dxa"/>
            <w:vMerge w:val="restart"/>
            <w:shd w:val="clear" w:color="auto" w:fill="auto"/>
            <w:vAlign w:val="center"/>
          </w:tcPr>
          <w:p>
            <w:pPr>
              <w:rPr>
                <w:rFonts w:ascii="仿宋_GB2312" w:hAnsi="宋体" w:eastAsia="仿宋_GB2312" w:cs="宋体"/>
                <w:color w:val="000000"/>
                <w:sz w:val="18"/>
                <w:szCs w:val="18"/>
              </w:rPr>
            </w:pPr>
            <w:r>
              <w:rPr>
                <w:rFonts w:hint="eastAsia" w:ascii="仿宋_GB2312" w:eastAsia="仿宋_GB2312"/>
                <w:sz w:val="18"/>
                <w:szCs w:val="18"/>
              </w:rPr>
              <w:t>■政府网站   ■微信公众号   ■大厅窗口  ■政务服务平台</w:t>
            </w:r>
          </w:p>
        </w:tc>
        <w:tc>
          <w:tcPr>
            <w:tcW w:w="720"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1001" w:type="dxa"/>
            <w:vMerge w:val="continue"/>
            <w:shd w:val="clear" w:color="auto" w:fill="auto"/>
            <w:vAlign w:val="center"/>
          </w:tcPr>
          <w:p>
            <w:pPr>
              <w:rPr>
                <w:rFonts w:ascii="仿宋_GB2312" w:hAnsi="宋体" w:eastAsia="仿宋_GB2312" w:cs="宋体"/>
                <w:color w:val="000000"/>
                <w:sz w:val="18"/>
                <w:szCs w:val="18"/>
              </w:rPr>
            </w:pPr>
          </w:p>
        </w:tc>
        <w:tc>
          <w:tcPr>
            <w:tcW w:w="1159" w:type="dxa"/>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燃气经营者改动市政燃气设施审批</w:t>
            </w:r>
          </w:p>
        </w:tc>
        <w:tc>
          <w:tcPr>
            <w:tcW w:w="1980"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xml:space="preserve">  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申请材料、</w:t>
            </w:r>
            <w:r>
              <w:rPr>
                <w:rFonts w:hint="eastAsia" w:ascii="仿宋_GB2312" w:eastAsia="仿宋_GB2312"/>
                <w:color w:val="000000"/>
                <w:sz w:val="18"/>
                <w:szCs w:val="18"/>
              </w:rPr>
              <w:br w:type="textWrapping"/>
            </w:r>
            <w:bookmarkStart w:id="1" w:name="_GoBack"/>
            <w:bookmarkEnd w:id="1"/>
            <w:r>
              <w:rPr>
                <w:rFonts w:hint="eastAsia" w:ascii="仿宋_GB2312" w:eastAsia="仿宋_GB2312"/>
                <w:color w:val="000000"/>
                <w:sz w:val="18"/>
                <w:szCs w:val="18"/>
              </w:rPr>
              <w:t xml:space="preserve">  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法定依据   </w:t>
            </w:r>
          </w:p>
        </w:tc>
        <w:tc>
          <w:tcPr>
            <w:tcW w:w="1800" w:type="dxa"/>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《城镇燃气管理条例》</w:t>
            </w:r>
          </w:p>
        </w:tc>
        <w:tc>
          <w:tcPr>
            <w:tcW w:w="1620" w:type="dxa"/>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20个工作日</w:t>
            </w:r>
          </w:p>
        </w:tc>
        <w:tc>
          <w:tcPr>
            <w:tcW w:w="1800" w:type="dxa"/>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昆都仑区住房和城乡建设局</w:t>
            </w:r>
          </w:p>
        </w:tc>
        <w:tc>
          <w:tcPr>
            <w:tcW w:w="1440" w:type="dxa"/>
            <w:vMerge w:val="continue"/>
            <w:shd w:val="clear" w:color="auto" w:fill="auto"/>
            <w:vAlign w:val="center"/>
          </w:tcPr>
          <w:p>
            <w:pPr>
              <w:jc w:val="center"/>
              <w:rPr>
                <w:rFonts w:ascii="仿宋_GB2312" w:hAnsi="宋体" w:eastAsia="仿宋_GB2312" w:cs="宋体"/>
                <w:color w:val="000000"/>
                <w:sz w:val="18"/>
                <w:szCs w:val="18"/>
              </w:rPr>
            </w:pPr>
          </w:p>
        </w:tc>
        <w:tc>
          <w:tcPr>
            <w:tcW w:w="720"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1001"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市政设施建设类审批</w:t>
            </w:r>
          </w:p>
        </w:tc>
        <w:tc>
          <w:tcPr>
            <w:tcW w:w="1159"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占用、挖掘城市道路审批</w:t>
            </w:r>
          </w:p>
        </w:tc>
        <w:tc>
          <w:tcPr>
            <w:tcW w:w="1980" w:type="dxa"/>
            <w:shd w:val="clear" w:color="auto" w:fill="auto"/>
            <w:vAlign w:val="center"/>
          </w:tcPr>
          <w:p>
            <w:pPr>
              <w:jc w:val="left"/>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对</w:t>
            </w:r>
            <w:r>
              <w:rPr>
                <w:rFonts w:hint="eastAsia" w:ascii="仿宋_GB2312" w:eastAsia="仿宋_GB2312"/>
                <w:color w:val="000000"/>
                <w:sz w:val="18"/>
                <w:szCs w:val="18"/>
              </w:rPr>
              <w:t>符合城市总体规划和城市道路系统规划</w:t>
            </w:r>
            <w:r>
              <w:rPr>
                <w:rFonts w:hint="eastAsia" w:ascii="仿宋_GB2312" w:eastAsia="仿宋_GB2312"/>
                <w:color w:val="000000"/>
                <w:sz w:val="18"/>
                <w:szCs w:val="18"/>
                <w:lang w:eastAsia="zh-CN"/>
              </w:rPr>
              <w:t>、</w:t>
            </w:r>
          </w:p>
          <w:p>
            <w:pPr>
              <w:jc w:val="left"/>
              <w:rPr>
                <w:rFonts w:hint="eastAsia" w:ascii="仿宋_GB2312" w:eastAsia="仿宋_GB2312"/>
                <w:color w:val="000000"/>
                <w:sz w:val="18"/>
                <w:szCs w:val="18"/>
                <w:lang w:eastAsia="zh-CN"/>
              </w:rPr>
            </w:pPr>
            <w:r>
              <w:rPr>
                <w:rFonts w:hint="eastAsia" w:ascii="仿宋_GB2312" w:eastAsia="仿宋_GB2312"/>
                <w:color w:val="000000"/>
                <w:sz w:val="18"/>
                <w:szCs w:val="18"/>
              </w:rPr>
              <w:t>挖掘、穿越城市道路并未改变城市道路使用性质</w:t>
            </w:r>
            <w:r>
              <w:rPr>
                <w:rFonts w:hint="eastAsia" w:ascii="仿宋_GB2312" w:eastAsia="仿宋_GB2312"/>
                <w:color w:val="000000"/>
                <w:sz w:val="18"/>
                <w:szCs w:val="18"/>
                <w:lang w:eastAsia="zh-CN"/>
              </w:rPr>
              <w:t>的审批</w:t>
            </w:r>
            <w:r>
              <w:rPr>
                <w:rFonts w:hint="eastAsia" w:ascii="仿宋_GB2312" w:eastAsia="仿宋_GB2312"/>
                <w:color w:val="000000"/>
                <w:sz w:val="18"/>
                <w:szCs w:val="18"/>
              </w:rPr>
              <w:t xml:space="preserve">  申请条件、申请材料、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法定依据</w:t>
            </w:r>
            <w:r>
              <w:rPr>
                <w:rFonts w:hint="eastAsia" w:ascii="仿宋_GB2312" w:eastAsia="仿宋_GB2312"/>
                <w:color w:val="000000"/>
                <w:sz w:val="18"/>
                <w:szCs w:val="18"/>
                <w:lang w:eastAsia="zh-CN"/>
              </w:rPr>
              <w:t>、</w:t>
            </w:r>
          </w:p>
          <w:p>
            <w:pPr>
              <w:jc w:val="left"/>
              <w:rPr>
                <w:rFonts w:ascii="仿宋_GB2312" w:hAnsi="宋体" w:eastAsia="仿宋_GB2312" w:cs="宋体"/>
                <w:color w:val="000000"/>
                <w:sz w:val="18"/>
                <w:szCs w:val="18"/>
              </w:rPr>
            </w:pPr>
          </w:p>
        </w:tc>
        <w:tc>
          <w:tcPr>
            <w:tcW w:w="1800" w:type="dxa"/>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lang w:eastAsia="zh-CN"/>
              </w:rPr>
              <w:t>《城市道路管理条例》、《国务院关于印发清理规范投资项目报建审批事项实施方案的通知》(国发〔2016〕29号)、《包头市市政施设管理条例》</w:t>
            </w:r>
          </w:p>
        </w:tc>
        <w:tc>
          <w:tcPr>
            <w:tcW w:w="1620" w:type="dxa"/>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20个工作日</w:t>
            </w:r>
          </w:p>
        </w:tc>
        <w:tc>
          <w:tcPr>
            <w:tcW w:w="1800" w:type="dxa"/>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市政工程行政主管部门</w:t>
            </w:r>
            <w:r>
              <w:rPr>
                <w:rFonts w:hint="eastAsia" w:ascii="仿宋_GB2312" w:eastAsia="仿宋_GB2312"/>
                <w:color w:val="000000"/>
                <w:sz w:val="18"/>
                <w:szCs w:val="18"/>
                <w:lang w:eastAsia="zh-CN"/>
              </w:rPr>
              <w:t>、城市管理执法部门</w:t>
            </w:r>
          </w:p>
        </w:tc>
        <w:tc>
          <w:tcPr>
            <w:tcW w:w="1440" w:type="dxa"/>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政府公报、政府网站、新闻发布会、报刊、广播、电视或其他便于公众知晓的方式</w:t>
            </w:r>
          </w:p>
        </w:tc>
        <w:tc>
          <w:tcPr>
            <w:tcW w:w="720"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1001"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城市园林绿化管理</w:t>
            </w:r>
          </w:p>
        </w:tc>
        <w:tc>
          <w:tcPr>
            <w:tcW w:w="1159"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城市园林绿化行政审批</w:t>
            </w:r>
          </w:p>
        </w:tc>
        <w:tc>
          <w:tcPr>
            <w:tcW w:w="1980" w:type="dxa"/>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对临时占用城市绿化用地，砍伐城市树木，迁移古树名木，改变绿化规划、绿化用地的使用性质等审批事项申请条件、申请材料、申请流程、法定依据、受理机构、办理结果。</w:t>
            </w:r>
          </w:p>
        </w:tc>
        <w:tc>
          <w:tcPr>
            <w:tcW w:w="1800" w:type="dxa"/>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《城市绿化条例》</w:t>
            </w:r>
          </w:p>
        </w:tc>
        <w:tc>
          <w:tcPr>
            <w:tcW w:w="1620" w:type="dxa"/>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rPr>
                <w:rFonts w:hint="eastAsia" w:ascii="仿宋_GB2312" w:hAnsi="宋体" w:eastAsia="仿宋_GB2312" w:cs="宋体"/>
                <w:color w:val="000000"/>
                <w:sz w:val="18"/>
                <w:szCs w:val="18"/>
                <w:lang w:eastAsia="zh-CN"/>
              </w:rPr>
            </w:pPr>
            <w:r>
              <w:rPr>
                <w:rFonts w:hint="eastAsia" w:ascii="仿宋_GB2312" w:eastAsia="仿宋_GB2312"/>
                <w:color w:val="000000"/>
                <w:sz w:val="18"/>
                <w:szCs w:val="18"/>
              </w:rPr>
              <w:t>城市人民政府城市绿化行政主管部门</w:t>
            </w:r>
            <w:r>
              <w:rPr>
                <w:rFonts w:hint="eastAsia" w:ascii="仿宋_GB2312" w:eastAsia="仿宋_GB2312"/>
                <w:color w:val="000000"/>
                <w:sz w:val="18"/>
                <w:szCs w:val="18"/>
                <w:lang w:eastAsia="zh-CN"/>
              </w:rPr>
              <w:t>、城市综合执法局</w:t>
            </w:r>
          </w:p>
        </w:tc>
        <w:tc>
          <w:tcPr>
            <w:tcW w:w="1440" w:type="dxa"/>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政府网站、公开查阅点</w:t>
            </w:r>
          </w:p>
        </w:tc>
        <w:tc>
          <w:tcPr>
            <w:tcW w:w="720"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shd w:val="clear" w:color="auto" w:fill="auto"/>
          </w:tcPr>
          <w:p>
            <w:pPr>
              <w:rPr>
                <w:rFonts w:ascii="仿宋_GB2312" w:hAnsi="宋体" w:eastAsia="仿宋_GB2312" w:cs="宋体"/>
                <w:b/>
                <w:bCs/>
                <w:color w:val="000000"/>
                <w:sz w:val="18"/>
                <w:szCs w:val="18"/>
              </w:rPr>
            </w:pPr>
            <w:r>
              <w:rPr>
                <w:rFonts w:hint="eastAsia" w:ascii="仿宋_GB2312" w:eastAsia="仿宋_GB2312"/>
                <w:b/>
                <w:bCs/>
                <w:color w:val="000000"/>
                <w:sz w:val="18"/>
                <w:szCs w:val="18"/>
              </w:rPr>
              <w:t>　</w:t>
            </w:r>
          </w:p>
        </w:tc>
        <w:tc>
          <w:tcPr>
            <w:tcW w:w="551"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shd w:val="clear" w:color="auto" w:fill="auto"/>
          </w:tcPr>
          <w:p>
            <w:pPr>
              <w:rPr>
                <w:rFonts w:ascii="仿宋_GB2312" w:hAnsi="宋体" w:eastAsia="仿宋_GB2312" w:cs="宋体"/>
                <w:b/>
                <w:bCs/>
                <w:color w:val="000000"/>
                <w:sz w:val="18"/>
                <w:szCs w:val="18"/>
              </w:rPr>
            </w:pPr>
            <w:r>
              <w:rPr>
                <w:rFonts w:hint="eastAsia" w:ascii="仿宋_GB2312" w:eastAsia="仿宋_GB2312"/>
                <w:b/>
                <w:bCs/>
                <w:color w:val="000000"/>
                <w:sz w:val="18"/>
                <w:szCs w:val="18"/>
              </w:rPr>
              <w:t>　</w:t>
            </w:r>
          </w:p>
        </w:tc>
        <w:tc>
          <w:tcPr>
            <w:tcW w:w="720"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shd w:val="clear" w:color="auto" w:fill="auto"/>
          </w:tcPr>
          <w:p>
            <w:pPr>
              <w:rPr>
                <w:rFonts w:ascii="仿宋_GB2312" w:hAnsi="宋体" w:eastAsia="仿宋_GB2312" w:cs="宋体"/>
                <w:b/>
                <w:bCs/>
                <w:color w:val="000000"/>
                <w:sz w:val="18"/>
                <w:szCs w:val="18"/>
              </w:rPr>
            </w:pPr>
            <w:r>
              <w:rPr>
                <w:rFonts w:hint="eastAsia" w:ascii="仿宋_GB2312" w:eastAsia="仿宋_GB2312"/>
                <w:b/>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1001" w:type="dxa"/>
            <w:vMerge w:val="continue"/>
            <w:shd w:val="clear" w:color="auto" w:fill="auto"/>
            <w:vAlign w:val="center"/>
          </w:tcPr>
          <w:p>
            <w:pPr>
              <w:rPr>
                <w:rFonts w:ascii="仿宋_GB2312" w:hAnsi="宋体" w:eastAsia="仿宋_GB2312" w:cs="宋体"/>
                <w:color w:val="000000"/>
                <w:sz w:val="18"/>
                <w:szCs w:val="18"/>
              </w:rPr>
            </w:pPr>
          </w:p>
        </w:tc>
        <w:tc>
          <w:tcPr>
            <w:tcW w:w="1159"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城市园林绿化行政处罚</w:t>
            </w:r>
          </w:p>
        </w:tc>
        <w:tc>
          <w:tcPr>
            <w:tcW w:w="1980" w:type="dxa"/>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对违规占用城市绿化用地、砍伐城市树木、迁移古树名木等城市绿化违法违规行为的处罚内容、处罚依据、处罚流程和实施机关。对城市绿化违法违规行为的处罚结果。</w:t>
            </w:r>
          </w:p>
        </w:tc>
        <w:tc>
          <w:tcPr>
            <w:tcW w:w="1800" w:type="dxa"/>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《城市绿化条例》</w:t>
            </w:r>
          </w:p>
        </w:tc>
        <w:tc>
          <w:tcPr>
            <w:tcW w:w="1620" w:type="dxa"/>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城市人民政府城市绿化行政主管部门</w:t>
            </w:r>
          </w:p>
        </w:tc>
        <w:tc>
          <w:tcPr>
            <w:tcW w:w="1440" w:type="dxa"/>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政府网站、公开查阅点</w:t>
            </w:r>
          </w:p>
        </w:tc>
        <w:tc>
          <w:tcPr>
            <w:tcW w:w="720"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shd w:val="clear" w:color="auto" w:fill="auto"/>
          </w:tcPr>
          <w:p>
            <w:pPr>
              <w:rPr>
                <w:rFonts w:ascii="仿宋_GB2312" w:hAnsi="宋体" w:eastAsia="仿宋_GB2312" w:cs="宋体"/>
                <w:b/>
                <w:bCs/>
                <w:color w:val="000000"/>
                <w:sz w:val="18"/>
                <w:szCs w:val="18"/>
              </w:rPr>
            </w:pPr>
            <w:r>
              <w:rPr>
                <w:rFonts w:hint="eastAsia" w:ascii="仿宋_GB2312" w:eastAsia="仿宋_GB2312"/>
                <w:b/>
                <w:bCs/>
                <w:color w:val="000000"/>
                <w:sz w:val="18"/>
                <w:szCs w:val="18"/>
              </w:rPr>
              <w:t>　</w:t>
            </w:r>
          </w:p>
        </w:tc>
        <w:tc>
          <w:tcPr>
            <w:tcW w:w="551"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shd w:val="clear" w:color="auto" w:fill="auto"/>
          </w:tcPr>
          <w:p>
            <w:pPr>
              <w:rPr>
                <w:rFonts w:ascii="仿宋_GB2312" w:hAnsi="宋体" w:eastAsia="仿宋_GB2312" w:cs="宋体"/>
                <w:b/>
                <w:bCs/>
                <w:color w:val="000000"/>
                <w:sz w:val="18"/>
                <w:szCs w:val="18"/>
              </w:rPr>
            </w:pPr>
            <w:r>
              <w:rPr>
                <w:rFonts w:hint="eastAsia" w:ascii="仿宋_GB2312" w:eastAsia="仿宋_GB2312"/>
                <w:b/>
                <w:bCs/>
                <w:color w:val="000000"/>
                <w:sz w:val="18"/>
                <w:szCs w:val="18"/>
              </w:rPr>
              <w:t>　</w:t>
            </w:r>
          </w:p>
        </w:tc>
        <w:tc>
          <w:tcPr>
            <w:tcW w:w="720"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宋体"/>
                <w:color w:val="000000"/>
                <w:sz w:val="18"/>
                <w:szCs w:val="18"/>
              </w:rPr>
            </w:pPr>
          </w:p>
        </w:tc>
        <w:tc>
          <w:tcPr>
            <w:tcW w:w="1001" w:type="dxa"/>
            <w:vMerge w:val="restart"/>
            <w:shd w:val="clear" w:color="auto" w:fill="auto"/>
            <w:vAlign w:val="center"/>
          </w:tcPr>
          <w:p>
            <w:pPr>
              <w:rPr>
                <w:rFonts w:hint="eastAsia" w:ascii="仿宋_GB2312" w:eastAsia="仿宋_GB2312"/>
                <w:color w:val="000000"/>
                <w:sz w:val="18"/>
                <w:szCs w:val="18"/>
              </w:rPr>
            </w:pPr>
          </w:p>
          <w:p>
            <w:pPr>
              <w:rPr>
                <w:rFonts w:hint="eastAsia" w:ascii="仿宋_GB2312" w:eastAsia="仿宋_GB2312"/>
                <w:color w:val="000000"/>
                <w:sz w:val="18"/>
                <w:szCs w:val="18"/>
              </w:rPr>
            </w:pPr>
          </w:p>
          <w:p>
            <w:pPr>
              <w:rPr>
                <w:rFonts w:hint="eastAsia" w:ascii="仿宋_GB2312" w:eastAsia="仿宋_GB2312"/>
                <w:color w:val="000000"/>
                <w:sz w:val="18"/>
                <w:szCs w:val="18"/>
              </w:rPr>
            </w:pPr>
          </w:p>
          <w:p>
            <w:pPr>
              <w:rPr>
                <w:rFonts w:hint="eastAsia" w:ascii="仿宋_GB2312" w:eastAsia="仿宋_GB2312"/>
                <w:color w:val="000000"/>
                <w:sz w:val="18"/>
                <w:szCs w:val="18"/>
              </w:rPr>
            </w:pPr>
          </w:p>
          <w:p>
            <w:pPr>
              <w:rPr>
                <w:rFonts w:hint="eastAsia" w:ascii="仿宋_GB2312" w:eastAsia="仿宋_GB2312"/>
                <w:color w:val="000000"/>
                <w:sz w:val="18"/>
                <w:szCs w:val="18"/>
              </w:rPr>
            </w:pPr>
          </w:p>
          <w:p>
            <w:pPr>
              <w:rPr>
                <w:rFonts w:hint="eastAsia" w:ascii="仿宋_GB2312" w:eastAsia="仿宋_GB2312"/>
                <w:color w:val="000000"/>
                <w:sz w:val="18"/>
                <w:szCs w:val="18"/>
              </w:rPr>
            </w:pPr>
          </w:p>
          <w:p>
            <w:pPr>
              <w:rPr>
                <w:rFonts w:hint="eastAsia" w:ascii="仿宋_GB2312" w:eastAsia="仿宋_GB2312"/>
                <w:color w:val="000000"/>
                <w:sz w:val="18"/>
                <w:szCs w:val="18"/>
              </w:rPr>
            </w:pPr>
          </w:p>
          <w:p>
            <w:pPr>
              <w:rPr>
                <w:rFonts w:ascii="仿宋_GB2312" w:hAnsi="宋体" w:eastAsia="仿宋_GB2312" w:cs="宋体"/>
                <w:color w:val="000000"/>
                <w:sz w:val="18"/>
                <w:szCs w:val="18"/>
              </w:rPr>
            </w:pPr>
            <w:r>
              <w:rPr>
                <w:rFonts w:hint="eastAsia" w:ascii="仿宋_GB2312" w:eastAsia="仿宋_GB2312"/>
                <w:color w:val="000000"/>
                <w:sz w:val="18"/>
                <w:szCs w:val="18"/>
              </w:rPr>
              <w:t>城市供水、城镇排水与污水处理</w:t>
            </w:r>
          </w:p>
        </w:tc>
        <w:tc>
          <w:tcPr>
            <w:tcW w:w="1159" w:type="dxa"/>
            <w:shd w:val="clear" w:color="auto" w:fill="auto"/>
            <w:vAlign w:val="center"/>
          </w:tcPr>
          <w:p>
            <w:pPr>
              <w:rPr>
                <w:rFonts w:ascii="仿宋_GB2312" w:hAnsi="宋体" w:eastAsia="仿宋_GB2312" w:cs="宋体"/>
                <w:color w:val="000000"/>
                <w:sz w:val="18"/>
                <w:szCs w:val="18"/>
              </w:rPr>
            </w:pPr>
          </w:p>
        </w:tc>
        <w:tc>
          <w:tcPr>
            <w:tcW w:w="1980" w:type="dxa"/>
            <w:shd w:val="clear" w:color="auto" w:fill="auto"/>
            <w:vAlign w:val="center"/>
          </w:tcPr>
          <w:p>
            <w:pPr>
              <w:rPr>
                <w:rFonts w:ascii="仿宋_GB2312" w:hAnsi="宋体" w:eastAsia="仿宋_GB2312" w:cs="宋体"/>
                <w:color w:val="000000"/>
                <w:sz w:val="18"/>
                <w:szCs w:val="18"/>
              </w:rPr>
            </w:pPr>
          </w:p>
        </w:tc>
        <w:tc>
          <w:tcPr>
            <w:tcW w:w="1800" w:type="dxa"/>
            <w:vAlign w:val="center"/>
          </w:tcPr>
          <w:p>
            <w:pPr>
              <w:rPr>
                <w:rFonts w:ascii="仿宋_GB2312" w:hAnsi="宋体" w:eastAsia="仿宋_GB2312" w:cs="宋体"/>
                <w:color w:val="000000"/>
                <w:sz w:val="18"/>
                <w:szCs w:val="18"/>
              </w:rPr>
            </w:pPr>
          </w:p>
        </w:tc>
        <w:tc>
          <w:tcPr>
            <w:tcW w:w="1620" w:type="dxa"/>
            <w:vAlign w:val="center"/>
          </w:tcPr>
          <w:p>
            <w:pPr>
              <w:rPr>
                <w:rFonts w:ascii="仿宋_GB2312" w:hAnsi="宋体" w:eastAsia="仿宋_GB2312" w:cs="宋体"/>
                <w:color w:val="000000"/>
                <w:sz w:val="18"/>
                <w:szCs w:val="18"/>
              </w:rPr>
            </w:pPr>
          </w:p>
        </w:tc>
        <w:tc>
          <w:tcPr>
            <w:tcW w:w="1800" w:type="dxa"/>
            <w:vAlign w:val="center"/>
          </w:tcPr>
          <w:p>
            <w:pPr>
              <w:jc w:val="center"/>
              <w:rPr>
                <w:rFonts w:ascii="仿宋_GB2312" w:hAnsi="宋体" w:eastAsia="仿宋_GB2312" w:cs="宋体"/>
                <w:color w:val="000000"/>
                <w:sz w:val="18"/>
                <w:szCs w:val="18"/>
              </w:rPr>
            </w:pPr>
          </w:p>
        </w:tc>
        <w:tc>
          <w:tcPr>
            <w:tcW w:w="1440" w:type="dxa"/>
            <w:shd w:val="clear" w:color="auto" w:fill="auto"/>
            <w:vAlign w:val="center"/>
          </w:tcPr>
          <w:p>
            <w:pPr>
              <w:rPr>
                <w:rFonts w:ascii="仿宋_GB2312" w:hAnsi="宋体" w:eastAsia="仿宋_GB2312" w:cs="宋体"/>
                <w:color w:val="000000"/>
                <w:sz w:val="18"/>
                <w:szCs w:val="18"/>
              </w:rPr>
            </w:pPr>
          </w:p>
        </w:tc>
        <w:tc>
          <w:tcPr>
            <w:tcW w:w="720" w:type="dxa"/>
            <w:shd w:val="clear" w:color="auto" w:fill="auto"/>
            <w:vAlign w:val="center"/>
          </w:tcPr>
          <w:p>
            <w:pPr>
              <w:jc w:val="center"/>
              <w:rPr>
                <w:rFonts w:ascii="仿宋_GB2312" w:hAnsi="宋体" w:eastAsia="仿宋_GB2312" w:cs="宋体"/>
                <w:color w:val="000000"/>
                <w:sz w:val="18"/>
                <w:szCs w:val="18"/>
              </w:rPr>
            </w:pPr>
          </w:p>
        </w:tc>
        <w:tc>
          <w:tcPr>
            <w:tcW w:w="709" w:type="dxa"/>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pPr>
              <w:jc w:val="center"/>
              <w:rPr>
                <w:rFonts w:ascii="仿宋_GB2312" w:hAnsi="宋体" w:eastAsia="仿宋_GB2312" w:cs="宋体"/>
                <w:color w:val="000000"/>
                <w:sz w:val="18"/>
                <w:szCs w:val="18"/>
              </w:rPr>
            </w:pPr>
          </w:p>
        </w:tc>
        <w:tc>
          <w:tcPr>
            <w:tcW w:w="720"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pPr>
              <w:jc w:val="center"/>
              <w:rPr>
                <w:rFonts w:ascii="仿宋_GB2312" w:hAnsi="宋体" w:eastAsia="仿宋_GB2312" w:cs="宋体"/>
                <w:color w:val="000000"/>
                <w:sz w:val="18"/>
                <w:szCs w:val="18"/>
              </w:rPr>
            </w:pPr>
          </w:p>
        </w:tc>
        <w:tc>
          <w:tcPr>
            <w:tcW w:w="720" w:type="dxa"/>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10</w:t>
            </w:r>
          </w:p>
        </w:tc>
        <w:tc>
          <w:tcPr>
            <w:tcW w:w="1001" w:type="dxa"/>
            <w:vMerge w:val="continue"/>
            <w:shd w:val="clear" w:color="auto" w:fill="auto"/>
            <w:vAlign w:val="center"/>
          </w:tcPr>
          <w:p>
            <w:pPr>
              <w:rPr>
                <w:rFonts w:ascii="仿宋_GB2312" w:hAnsi="宋体" w:eastAsia="仿宋_GB2312" w:cs="宋体"/>
                <w:color w:val="000000"/>
                <w:sz w:val="18"/>
                <w:szCs w:val="18"/>
              </w:rPr>
            </w:pPr>
          </w:p>
        </w:tc>
        <w:tc>
          <w:tcPr>
            <w:tcW w:w="1159" w:type="dxa"/>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对从事工业、建筑、餐饮、医疗等活动的企业事业单位、个体工商户向城镇排水设施排放污水许可的审批</w:t>
            </w:r>
          </w:p>
        </w:tc>
        <w:tc>
          <w:tcPr>
            <w:tcW w:w="1980" w:type="dxa"/>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从事工业、建筑、餐饮、医疗等活动的企业事业单位、个体工商户（以下称排水户）向城镇排水设施排放污水的，应当向城镇排水主管部门申请领取污水排入排水管网许可证申请条件、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法定依据</w:t>
            </w:r>
          </w:p>
        </w:tc>
        <w:tc>
          <w:tcPr>
            <w:tcW w:w="1800" w:type="dxa"/>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《城镇排水与污水处理条例》</w:t>
            </w:r>
            <w:r>
              <w:rPr>
                <w:rFonts w:hint="eastAsia" w:ascii="仿宋_GB2312" w:eastAsia="仿宋_GB2312"/>
                <w:color w:val="000000"/>
                <w:sz w:val="18"/>
                <w:szCs w:val="18"/>
                <w:lang w:eastAsia="zh-CN"/>
              </w:rPr>
              <w:t>（国务院）《包头市城</w:t>
            </w:r>
            <w:r>
              <w:rPr>
                <w:rFonts w:hint="eastAsia" w:ascii="仿宋_GB2312" w:eastAsia="仿宋_GB2312"/>
                <w:color w:val="000000"/>
                <w:sz w:val="18"/>
                <w:szCs w:val="18"/>
              </w:rPr>
              <w:t>镇排水与污水处理条例</w:t>
            </w:r>
            <w:r>
              <w:rPr>
                <w:rFonts w:hint="eastAsia" w:ascii="仿宋_GB2312" w:eastAsia="仿宋_GB2312"/>
                <w:color w:val="000000"/>
                <w:sz w:val="18"/>
                <w:szCs w:val="18"/>
                <w:lang w:eastAsia="zh-CN"/>
              </w:rPr>
              <w:t>》</w:t>
            </w:r>
          </w:p>
        </w:tc>
        <w:tc>
          <w:tcPr>
            <w:tcW w:w="1620" w:type="dxa"/>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城镇排水与污水处理主管部门</w:t>
            </w:r>
          </w:p>
        </w:tc>
        <w:tc>
          <w:tcPr>
            <w:tcW w:w="1440" w:type="dxa"/>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政府门户网站、公开查阅点</w:t>
            </w:r>
          </w:p>
        </w:tc>
        <w:tc>
          <w:tcPr>
            <w:tcW w:w="720"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r>
    </w:tbl>
    <w:p>
      <w:pPr>
        <w:jc w:val="center"/>
        <w:rPr>
          <w:rFonts w:ascii="仿宋_GB2312" w:hAnsi="Times New Roman" w:eastAsia="仿宋_GB2312"/>
          <w:sz w:val="18"/>
          <w:szCs w:val="1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6393"/>
    <w:rsid w:val="00033051"/>
    <w:rsid w:val="00146120"/>
    <w:rsid w:val="001778FF"/>
    <w:rsid w:val="00190068"/>
    <w:rsid w:val="00193DB9"/>
    <w:rsid w:val="001E6D63"/>
    <w:rsid w:val="002967AA"/>
    <w:rsid w:val="002E0878"/>
    <w:rsid w:val="00317CAD"/>
    <w:rsid w:val="003A2B20"/>
    <w:rsid w:val="003B2C77"/>
    <w:rsid w:val="004077CB"/>
    <w:rsid w:val="00416393"/>
    <w:rsid w:val="00505CE0"/>
    <w:rsid w:val="00583623"/>
    <w:rsid w:val="00612901"/>
    <w:rsid w:val="00726B13"/>
    <w:rsid w:val="0077273F"/>
    <w:rsid w:val="007A4A8D"/>
    <w:rsid w:val="008438B0"/>
    <w:rsid w:val="00902A01"/>
    <w:rsid w:val="00A41EEC"/>
    <w:rsid w:val="00AA6B60"/>
    <w:rsid w:val="00B4495C"/>
    <w:rsid w:val="00B56955"/>
    <w:rsid w:val="00C05BCC"/>
    <w:rsid w:val="00C21974"/>
    <w:rsid w:val="00C3715A"/>
    <w:rsid w:val="00D840DF"/>
    <w:rsid w:val="00FA002F"/>
    <w:rsid w:val="00FD423A"/>
    <w:rsid w:val="1E615FD5"/>
    <w:rsid w:val="57B97B4E"/>
    <w:rsid w:val="59AA01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qFormat/>
    <w:uiPriority w:val="0"/>
    <w:pPr>
      <w:jc w:val="left"/>
    </w:pPr>
  </w:style>
  <w:style w:type="paragraph" w:styleId="4">
    <w:name w:val="Balloon Text"/>
    <w:basedOn w:val="1"/>
    <w:link w:val="19"/>
    <w:semiHidden/>
    <w:qFormat/>
    <w:uiPriority w:val="0"/>
    <w:rPr>
      <w:sz w:val="18"/>
      <w:szCs w:val="18"/>
    </w:rPr>
  </w:style>
  <w:style w:type="paragraph" w:styleId="5">
    <w:name w:val="footer"/>
    <w:basedOn w:val="1"/>
    <w:link w:val="22"/>
    <w:uiPriority w:val="0"/>
    <w:pPr>
      <w:tabs>
        <w:tab w:val="center" w:pos="4153"/>
        <w:tab w:val="right" w:pos="8306"/>
      </w:tabs>
      <w:snapToGrid w:val="0"/>
      <w:jc w:val="left"/>
    </w:pPr>
    <w:rPr>
      <w:sz w:val="18"/>
      <w:szCs w:val="18"/>
    </w:rPr>
  </w:style>
  <w:style w:type="paragraph" w:styleId="6">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8"/>
    <w:semiHidden/>
    <w:qFormat/>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qFormat/>
    <w:uiPriority w:val="0"/>
    <w:rPr>
      <w:color w:val="0000FF"/>
      <w:u w:val="single"/>
    </w:rPr>
  </w:style>
  <w:style w:type="character" w:styleId="14">
    <w:name w:val="annotation reference"/>
    <w:semiHidden/>
    <w:qFormat/>
    <w:uiPriority w:val="0"/>
    <w:rPr>
      <w:sz w:val="21"/>
      <w:szCs w:val="21"/>
    </w:rPr>
  </w:style>
  <w:style w:type="character" w:customStyle="1" w:styleId="15">
    <w:name w:val="标题 1 Char"/>
    <w:basedOn w:val="11"/>
    <w:link w:val="2"/>
    <w:uiPriority w:val="0"/>
    <w:rPr>
      <w:rFonts w:ascii="Calibri" w:hAnsi="Calibri" w:eastAsia="宋体" w:cs="Times New Roman"/>
      <w:b/>
      <w:bCs/>
      <w:kern w:val="44"/>
      <w:sz w:val="44"/>
      <w:szCs w:val="44"/>
    </w:rPr>
  </w:style>
  <w:style w:type="paragraph" w:customStyle="1" w:styleId="16">
    <w:name w:val="列出段落1"/>
    <w:basedOn w:val="1"/>
    <w:qFormat/>
    <w:uiPriority w:val="0"/>
    <w:pPr>
      <w:ind w:firstLine="420" w:firstLineChars="200"/>
    </w:pPr>
    <w:rPr>
      <w:rFonts w:ascii="等线" w:hAnsi="等线" w:eastAsia="等线"/>
    </w:rPr>
  </w:style>
  <w:style w:type="character" w:customStyle="1" w:styleId="17">
    <w:name w:val="批注文字 Char"/>
    <w:basedOn w:val="11"/>
    <w:link w:val="3"/>
    <w:semiHidden/>
    <w:qFormat/>
    <w:uiPriority w:val="0"/>
    <w:rPr>
      <w:rFonts w:ascii="Calibri" w:hAnsi="Calibri" w:eastAsia="宋体" w:cs="Times New Roman"/>
    </w:rPr>
  </w:style>
  <w:style w:type="character" w:customStyle="1" w:styleId="18">
    <w:name w:val="批注主题 Char"/>
    <w:basedOn w:val="17"/>
    <w:link w:val="8"/>
    <w:semiHidden/>
    <w:qFormat/>
    <w:uiPriority w:val="0"/>
    <w:rPr>
      <w:rFonts w:ascii="Calibri" w:hAnsi="Calibri" w:eastAsia="宋体" w:cs="Times New Roman"/>
      <w:b/>
      <w:bCs/>
    </w:rPr>
  </w:style>
  <w:style w:type="character" w:customStyle="1" w:styleId="19">
    <w:name w:val="批注框文本 Char"/>
    <w:basedOn w:val="11"/>
    <w:link w:val="4"/>
    <w:semiHidden/>
    <w:qFormat/>
    <w:uiPriority w:val="0"/>
    <w:rPr>
      <w:rFonts w:ascii="Calibri" w:hAnsi="Calibri" w:eastAsia="宋体" w:cs="Times New Roman"/>
      <w:sz w:val="18"/>
      <w:szCs w:val="18"/>
    </w:rPr>
  </w:style>
  <w:style w:type="paragraph" w:customStyle="1" w:styleId="20">
    <w:name w:val="列出段落11"/>
    <w:basedOn w:val="1"/>
    <w:qFormat/>
    <w:uiPriority w:val="0"/>
    <w:pPr>
      <w:ind w:firstLine="420" w:firstLineChars="200"/>
    </w:pPr>
  </w:style>
  <w:style w:type="character" w:customStyle="1" w:styleId="21">
    <w:name w:val="页眉 Char"/>
    <w:basedOn w:val="11"/>
    <w:link w:val="6"/>
    <w:qFormat/>
    <w:uiPriority w:val="0"/>
    <w:rPr>
      <w:rFonts w:ascii="Calibri" w:hAnsi="Calibri" w:eastAsia="宋体" w:cs="Times New Roman"/>
      <w:sz w:val="18"/>
      <w:szCs w:val="18"/>
    </w:rPr>
  </w:style>
  <w:style w:type="character" w:customStyle="1" w:styleId="22">
    <w:name w:val="页脚 Char"/>
    <w:basedOn w:val="11"/>
    <w:link w:val="5"/>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373737"/>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5E018B-1044-4649-8C3D-A791134E577F}">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Pages>
  <Words>225</Words>
  <Characters>1287</Characters>
  <Lines>10</Lines>
  <Paragraphs>3</Paragraphs>
  <TotalTime>39</TotalTime>
  <ScaleCrop>false</ScaleCrop>
  <LinksUpToDate>false</LinksUpToDate>
  <CharactersWithSpaces>1509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2020-10-12T03:52:00Z</dcterms:created>
  <dc:creator>李镇洋</dc:creator>
  <cp:lastModifiedBy>Administrator</cp:lastModifiedBy>
  <dcterms:modified xsi:type="dcterms:W3CDTF">2020-10-13T08:13:14Z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