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06"/>
      <w:r>
        <w:rPr>
          <w:rFonts w:hint="eastAsia" w:ascii="方正小标宋_GBK" w:hAnsi="方正小标宋_GBK" w:eastAsia="方正小标宋_GBK"/>
          <w:b w:val="0"/>
          <w:bCs w:val="0"/>
          <w:sz w:val="30"/>
          <w:lang w:eastAsia="zh-CN"/>
        </w:rPr>
        <w:t>昆区教育局</w:t>
      </w:r>
      <w:r>
        <w:rPr>
          <w:rFonts w:hint="eastAsia" w:ascii="方正小标宋_GBK" w:hAnsi="方正小标宋_GBK" w:eastAsia="方正小标宋_GBK"/>
          <w:b w:val="0"/>
          <w:bCs w:val="0"/>
          <w:sz w:val="30"/>
        </w:rPr>
        <w:t>义务教育领域基层政务公开标准目录</w:t>
      </w:r>
      <w:bookmarkEnd w:id="0"/>
    </w:p>
    <w:tbl>
      <w:tblPr>
        <w:tblStyle w:val="9"/>
        <w:tblpPr w:leftFromText="180" w:rightFromText="180" w:vertAnchor="text" w:horzAnchor="page" w:tblpX="1162" w:tblpY="1103"/>
        <w:tblOverlap w:val="never"/>
        <w:tblW w:w="1415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920"/>
        <w:gridCol w:w="1005"/>
        <w:gridCol w:w="1855"/>
        <w:gridCol w:w="2520"/>
        <w:gridCol w:w="1620"/>
        <w:gridCol w:w="1909"/>
        <w:gridCol w:w="841"/>
        <w:gridCol w:w="547"/>
        <w:gridCol w:w="443"/>
        <w:gridCol w:w="513"/>
        <w:gridCol w:w="4"/>
        <w:gridCol w:w="716"/>
        <w:gridCol w:w="4"/>
        <w:gridCol w:w="716"/>
        <w:gridCol w:w="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After w:w="0" w:type="auto"/>
          <w:cantSplit/>
        </w:trPr>
        <w:tc>
          <w:tcPr>
            <w:tcW w:w="540" w:type="dxa"/>
            <w:vMerge w:val="restart"/>
            <w:shd w:val="clear" w:color="auto" w:fill="auto"/>
            <w:vAlign w:val="center"/>
          </w:tcPr>
          <w:p>
            <w:pPr>
              <w:widowControl/>
              <w:jc w:val="center"/>
              <w:rPr>
                <w:rFonts w:hint="eastAsia" w:ascii="黑体" w:hAnsi="Times New Roman" w:eastAsia="黑体"/>
                <w:color w:val="000000"/>
                <w:kern w:val="0"/>
                <w:sz w:val="22"/>
              </w:rPr>
            </w:pPr>
            <w:r>
              <w:rPr>
                <w:rFonts w:hint="eastAsia" w:ascii="黑体" w:hAnsi="宋体" w:eastAsia="黑体"/>
                <w:color w:val="000000"/>
                <w:kern w:val="0"/>
                <w:sz w:val="22"/>
              </w:rPr>
              <w:t>序号</w:t>
            </w:r>
          </w:p>
        </w:tc>
        <w:tc>
          <w:tcPr>
            <w:tcW w:w="1925"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公开事项</w:t>
            </w:r>
          </w:p>
        </w:tc>
        <w:tc>
          <w:tcPr>
            <w:tcW w:w="1855"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25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公开依据</w:t>
            </w:r>
          </w:p>
        </w:tc>
        <w:tc>
          <w:tcPr>
            <w:tcW w:w="1620"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公开时限</w:t>
            </w:r>
          </w:p>
        </w:tc>
        <w:tc>
          <w:tcPr>
            <w:tcW w:w="1909" w:type="dxa"/>
            <w:vMerge w:val="restart"/>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w:t>
            </w:r>
            <w:bookmarkStart w:id="1" w:name="_GoBack"/>
            <w:bookmarkEnd w:id="1"/>
            <w:r>
              <w:rPr>
                <w:rFonts w:hint="eastAsia" w:ascii="黑体" w:hAnsi="宋体" w:eastAsia="黑体" w:cs="宋体"/>
                <w:color w:val="000000"/>
                <w:kern w:val="0"/>
                <w:sz w:val="22"/>
              </w:rPr>
              <w:t>开主体</w:t>
            </w:r>
          </w:p>
        </w:tc>
        <w:tc>
          <w:tcPr>
            <w:tcW w:w="84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公开对象</w:t>
            </w:r>
          </w:p>
        </w:tc>
        <w:tc>
          <w:tcPr>
            <w:tcW w:w="1507" w:type="dxa"/>
            <w:gridSpan w:val="4"/>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公开方式</w:t>
            </w:r>
          </w:p>
        </w:tc>
        <w:tc>
          <w:tcPr>
            <w:tcW w:w="1440" w:type="dxa"/>
            <w:gridSpan w:val="4"/>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vAlign w:val="center"/>
          </w:tcPr>
          <w:p>
            <w:pPr>
              <w:widowControl/>
              <w:jc w:val="left"/>
              <w:rPr>
                <w:rFonts w:hint="eastAsia" w:ascii="黑体" w:hAnsi="Times New Roman" w:eastAsia="黑体"/>
                <w:color w:val="000000"/>
                <w:kern w:val="0"/>
                <w:sz w:val="22"/>
              </w:rPr>
            </w:pPr>
          </w:p>
        </w:tc>
        <w:tc>
          <w:tcPr>
            <w:tcW w:w="920"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一级事项</w:t>
            </w:r>
          </w:p>
        </w:tc>
        <w:tc>
          <w:tcPr>
            <w:tcW w:w="1005"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二级事项</w:t>
            </w:r>
          </w:p>
        </w:tc>
        <w:tc>
          <w:tcPr>
            <w:tcW w:w="1855" w:type="dxa"/>
            <w:vMerge w:val="continue"/>
            <w:vAlign w:val="center"/>
          </w:tcPr>
          <w:p>
            <w:pPr>
              <w:widowControl/>
              <w:jc w:val="left"/>
              <w:rPr>
                <w:rFonts w:hint="eastAsia" w:ascii="黑体" w:hAnsi="宋体" w:eastAsia="黑体" w:cs="宋体"/>
                <w:color w:val="000000"/>
                <w:kern w:val="0"/>
                <w:sz w:val="22"/>
              </w:rPr>
            </w:pPr>
          </w:p>
        </w:tc>
        <w:tc>
          <w:tcPr>
            <w:tcW w:w="2520" w:type="dxa"/>
            <w:vMerge w:val="continue"/>
            <w:vAlign w:val="center"/>
          </w:tcPr>
          <w:p>
            <w:pPr>
              <w:widowControl/>
              <w:jc w:val="left"/>
              <w:rPr>
                <w:rFonts w:hint="eastAsia" w:ascii="黑体" w:hAnsi="宋体" w:eastAsia="黑体" w:cs="宋体"/>
                <w:color w:val="000000"/>
                <w:kern w:val="0"/>
                <w:sz w:val="22"/>
              </w:rPr>
            </w:pPr>
          </w:p>
        </w:tc>
        <w:tc>
          <w:tcPr>
            <w:tcW w:w="1620" w:type="dxa"/>
            <w:vMerge w:val="continue"/>
            <w:vAlign w:val="center"/>
          </w:tcPr>
          <w:p>
            <w:pPr>
              <w:widowControl/>
              <w:jc w:val="left"/>
              <w:rPr>
                <w:rFonts w:hint="eastAsia" w:ascii="黑体" w:hAnsi="宋体" w:eastAsia="黑体" w:cs="宋体"/>
                <w:color w:val="000000"/>
                <w:kern w:val="0"/>
                <w:sz w:val="22"/>
              </w:rPr>
            </w:pPr>
          </w:p>
        </w:tc>
        <w:tc>
          <w:tcPr>
            <w:tcW w:w="1909" w:type="dxa"/>
            <w:vMerge w:val="continue"/>
            <w:vAlign w:val="center"/>
          </w:tcPr>
          <w:p>
            <w:pPr>
              <w:widowControl/>
              <w:jc w:val="left"/>
              <w:rPr>
                <w:rFonts w:hint="eastAsia" w:ascii="黑体" w:hAnsi="宋体" w:eastAsia="黑体" w:cs="宋体"/>
                <w:color w:val="000000"/>
                <w:kern w:val="0"/>
                <w:sz w:val="22"/>
              </w:rPr>
            </w:pPr>
          </w:p>
        </w:tc>
        <w:tc>
          <w:tcPr>
            <w:tcW w:w="841"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全社会</w:t>
            </w:r>
          </w:p>
        </w:tc>
        <w:tc>
          <w:tcPr>
            <w:tcW w:w="547"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特定群众</w:t>
            </w:r>
          </w:p>
        </w:tc>
        <w:tc>
          <w:tcPr>
            <w:tcW w:w="443" w:type="dxa"/>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主动</w:t>
            </w:r>
          </w:p>
        </w:tc>
        <w:tc>
          <w:tcPr>
            <w:tcW w:w="517"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依申请公开</w:t>
            </w:r>
          </w:p>
        </w:tc>
        <w:tc>
          <w:tcPr>
            <w:tcW w:w="72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县级</w:t>
            </w:r>
          </w:p>
        </w:tc>
        <w:tc>
          <w:tcPr>
            <w:tcW w:w="720" w:type="dxa"/>
            <w:gridSpan w:val="2"/>
            <w:shd w:val="clear" w:color="auto" w:fill="auto"/>
            <w:vAlign w:val="center"/>
          </w:tcPr>
          <w:p>
            <w:pPr>
              <w:widowControl/>
              <w:jc w:val="center"/>
              <w:rPr>
                <w:rFonts w:hint="eastAsia"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1056"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政策</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文件</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教育法律</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《教育法》、《义务教育法》、《民办教育促进法》、《教师法》、《国家通用语言文字法》</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规范性文件</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部门和地方政府规章、各类教育政策文件</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2</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教育概况</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教育事业发展主要情况</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《统计法》、《政府信息公开条例》、《教育统计管理规定》</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教育统计数据</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学校数据、在校生数据、教师数据、办学条件数据、县级汇总数据</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义务教育学校名录</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学校名称、学校地址、办学层次、办学类型、办公电话</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2088"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3</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民办学校信息</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民办学校办学基本信息</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学校名称、办学许可证、办学规模、联系方式</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《民办教育促进法》、《政府信息公开条例》、《国务院关于鼓励社会力量兴办教育 促进民办教育健康发展的若干意见》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民办学校设立、变更、终止等事项行政审批、备案信息</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法律依据、办理流程、审批结果</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日常监管信息</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年检指标、年检程序、年检结果、行政处罚信息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4</w:t>
            </w:r>
          </w:p>
        </w:tc>
        <w:tc>
          <w:tcPr>
            <w:tcW w:w="9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1005" w:type="dxa"/>
            <w:shd w:val="clear" w:color="auto" w:fill="auto"/>
            <w:noWrap/>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财务信息</w:t>
            </w:r>
          </w:p>
        </w:tc>
        <w:tc>
          <w:tcPr>
            <w:tcW w:w="1855" w:type="dxa"/>
            <w:shd w:val="clear" w:color="auto" w:fill="auto"/>
            <w:vAlign w:val="center"/>
          </w:tcPr>
          <w:p>
            <w:pPr>
              <w:jc w:val="left"/>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财务管理及监督办法、</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年度经费预决算信息、收费项目及收费标准</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92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100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学校介绍</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办学性质、办学地点、办学规模、办学基本条件、联系方式等</w:t>
            </w:r>
          </w:p>
        </w:tc>
        <w:tc>
          <w:tcPr>
            <w:tcW w:w="2520" w:type="dxa"/>
            <w:vMerge w:val="restart"/>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sz w:val="18"/>
                <w:szCs w:val="18"/>
              </w:rPr>
            </w:pPr>
          </w:p>
        </w:tc>
        <w:tc>
          <w:tcPr>
            <w:tcW w:w="1005"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招生政策</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各校招生工作实施方案；随迁子女入学办法；部分适龄儿童或少年延缓入学、休学等特殊需求的政策解读等</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5</w:t>
            </w:r>
          </w:p>
        </w:tc>
        <w:tc>
          <w:tcPr>
            <w:tcW w:w="920" w:type="dxa"/>
            <w:vMerge w:val="restart"/>
            <w:shd w:val="clear" w:color="auto" w:fill="auto"/>
            <w:noWrap/>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招生管理</w:t>
            </w:r>
          </w:p>
        </w:tc>
        <w:tc>
          <w:tcPr>
            <w:tcW w:w="1005"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招生计划</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各校本年度招生计划</w:t>
            </w:r>
          </w:p>
        </w:tc>
        <w:tc>
          <w:tcPr>
            <w:tcW w:w="2520" w:type="dxa"/>
            <w:vMerge w:val="restart"/>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《政府信息公开条例》、《教育部关于进一步做好小学升入初中免试就近入学工作的实施意见》《教育部关于推进中小学信息公开工作的意见》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vAlign w:val="center"/>
          </w:tcPr>
          <w:p>
            <w:pPr>
              <w:jc w:val="cente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sz w:val="18"/>
                <w:szCs w:val="18"/>
              </w:rPr>
            </w:pPr>
          </w:p>
        </w:tc>
        <w:tc>
          <w:tcPr>
            <w:tcW w:w="1005" w:type="dxa"/>
            <w:shd w:val="clear" w:color="auto" w:fill="auto"/>
            <w:noWrap/>
            <w:vAlign w:val="center"/>
          </w:tcPr>
          <w:p>
            <w:pPr>
              <w:rPr>
                <w:rFonts w:hint="eastAsia" w:ascii="仿宋_GB2312" w:hAnsi="宋体" w:eastAsia="仿宋_GB2312"/>
                <w:sz w:val="18"/>
                <w:szCs w:val="18"/>
              </w:rPr>
            </w:pPr>
            <w:r>
              <w:rPr>
                <w:rFonts w:hint="eastAsia" w:ascii="仿宋_GB2312" w:hAnsi="宋体" w:eastAsia="仿宋_GB2312"/>
                <w:sz w:val="18"/>
                <w:szCs w:val="18"/>
              </w:rPr>
              <w:t>招生范围</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招生范围、学区划分详细情况</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sz w:val="18"/>
                <w:szCs w:val="18"/>
              </w:rPr>
            </w:pPr>
          </w:p>
        </w:tc>
        <w:tc>
          <w:tcPr>
            <w:tcW w:w="1005"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招生结果</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各校本年度招生结果</w:t>
            </w:r>
          </w:p>
        </w:tc>
        <w:tc>
          <w:tcPr>
            <w:tcW w:w="2520" w:type="dxa"/>
            <w:vMerge w:val="continue"/>
            <w:vAlign w:val="center"/>
          </w:tcPr>
          <w:p>
            <w:pPr>
              <w:rPr>
                <w:rFonts w:hint="eastAsia" w:ascii="仿宋_GB2312" w:hAnsi="宋体" w:eastAsia="仿宋_GB2312" w:cs="宋体"/>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92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学生管理</w:t>
            </w:r>
          </w:p>
        </w:tc>
        <w:tc>
          <w:tcPr>
            <w:tcW w:w="1005"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学籍管理</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区域内义务教育阶段学生休学、复学、转学相关政策及所需材料和办理流程；适龄儿童延缓入学所需材料及办理流程；学籍证明、毕（结）业证书遗失办理学历证明确认</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《义务教育法》、《政府信息公开条例》、《中小学生学籍管理办法》</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sz w:val="18"/>
                <w:szCs w:val="18"/>
              </w:rPr>
            </w:pPr>
          </w:p>
        </w:tc>
        <w:tc>
          <w:tcPr>
            <w:tcW w:w="1005"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义务教育学生资助政策</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统一城乡义务教育“两免一补”政策</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《政府信息公开条例》、《国务院关于进一步完善城乡义务教育经费保障机制的通知》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sz w:val="18"/>
                <w:szCs w:val="18"/>
              </w:rPr>
            </w:pPr>
          </w:p>
        </w:tc>
        <w:tc>
          <w:tcPr>
            <w:tcW w:w="1005"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学生评优奖励</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省市县“三好学生”“优秀学生干部”评选标准；评比方法；表彰名单等</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《政府信息公开条例》，当地省市县表彰文件</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6</w:t>
            </w:r>
          </w:p>
        </w:tc>
        <w:tc>
          <w:tcPr>
            <w:tcW w:w="920" w:type="dxa"/>
            <w:shd w:val="clear" w:color="auto" w:fill="auto"/>
            <w:vAlign w:val="center"/>
          </w:tcPr>
          <w:p>
            <w:pPr>
              <w:jc w:val="center"/>
              <w:rPr>
                <w:rFonts w:hint="eastAsia" w:ascii="仿宋_GB2312" w:hAnsi="宋体" w:eastAsia="仿宋_GB2312"/>
                <w:sz w:val="18"/>
                <w:szCs w:val="18"/>
              </w:rPr>
            </w:pPr>
            <w:r>
              <w:rPr>
                <w:rFonts w:hint="eastAsia" w:ascii="仿宋_GB2312" w:hAnsi="宋体" w:eastAsia="仿宋_GB2312"/>
                <w:sz w:val="18"/>
                <w:szCs w:val="18"/>
              </w:rPr>
              <w:t>学生管理</w:t>
            </w:r>
          </w:p>
        </w:tc>
        <w:tc>
          <w:tcPr>
            <w:tcW w:w="1005" w:type="dxa"/>
            <w:shd w:val="clear" w:color="auto" w:fill="auto"/>
            <w:vAlign w:val="center"/>
          </w:tcPr>
          <w:p>
            <w:pPr>
              <w:rPr>
                <w:rFonts w:hint="eastAsia" w:ascii="仿宋_GB2312" w:hAnsi="宋体" w:eastAsia="仿宋_GB2312"/>
                <w:sz w:val="18"/>
                <w:szCs w:val="18"/>
              </w:rPr>
            </w:pPr>
            <w:r>
              <w:rPr>
                <w:rFonts w:hint="eastAsia" w:ascii="仿宋_GB2312" w:hAnsi="宋体" w:eastAsia="仿宋_GB2312"/>
                <w:sz w:val="18"/>
                <w:szCs w:val="18"/>
              </w:rPr>
              <w:t>优待政策</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军人子女参加中考优待确认办理的材料、流程和政策要求；少数民族考生中考加分确认办理的材料、流程和政策要求；归侨学生、归侨子女、华侨子女和港澳台籍考生中考加分确认；公安英烈和因公牺牲伤残公安民警子女教育优待细则；综合性消防救援队伍人员及其子女教育优待细则</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军人子女教育优待办法》、《国务院办公厅关于严格执行党和国家民族政策有关问题的通知》、《归侨侨眷权益保护法》、《教育部、国务院台湾事务办公室关于进一步做好台湾同胞子女在大陆中小学和幼儿园就读工作的若干意见》等</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47"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443" w:type="dxa"/>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513" w:type="dxa"/>
            <w:shd w:val="clear" w:color="auto" w:fill="auto"/>
            <w:noWrap/>
            <w:vAlign w:val="center"/>
          </w:tcPr>
          <w:p>
            <w:pPr>
              <w:rPr>
                <w:rFonts w:hint="eastAsia" w:ascii="仿宋_GB2312" w:hAnsi="仿宋" w:eastAsia="仿宋_GB2312" w:cs="宋体"/>
                <w:sz w:val="18"/>
                <w:szCs w:val="18"/>
              </w:rPr>
            </w:pPr>
            <w:r>
              <w:rPr>
                <w:rFonts w:hint="eastAsia" w:ascii="仿宋_GB2312" w:hAnsi="仿宋" w:eastAsia="仿宋_GB2312"/>
                <w:sz w:val="18"/>
                <w:szCs w:val="18"/>
              </w:rPr>
              <w:t>　</w:t>
            </w:r>
          </w:p>
        </w:tc>
        <w:tc>
          <w:tcPr>
            <w:tcW w:w="720" w:type="dxa"/>
            <w:gridSpan w:val="2"/>
            <w:shd w:val="clear" w:color="auto" w:fill="auto"/>
            <w:vAlign w:val="center"/>
          </w:tcPr>
          <w:p>
            <w:pPr>
              <w:jc w:val="center"/>
              <w:rPr>
                <w:rFonts w:hint="eastAsia" w:ascii="仿宋_GB2312" w:hAnsi="仿宋" w:eastAsia="仿宋_GB2312" w:cs="宋体"/>
                <w:sz w:val="18"/>
                <w:szCs w:val="18"/>
              </w:rPr>
            </w:pPr>
            <w:r>
              <w:rPr>
                <w:rFonts w:hint="eastAsia" w:ascii="仿宋_GB2312" w:hAnsi="仿宋" w:eastAsia="仿宋_GB2312"/>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教师培训政策文件、培训项目组织实施通知</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《教育法》、《教师法》、《中小学教师继续教育规定》</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教师资格认定申请材料；参加体检时间、医疗机构名单、体检合格标准；认定结果；咨询方式、监督举报方式、常见问题等</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《教师法》、《政府信息公开条例》、《教师资格条例》及实施办法、《教育部关于印发〈教师资格证书管理规定〉的通知》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749" w:hRule="atLeas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vMerge w:val="continue"/>
            <w:vAlign w:val="center"/>
          </w:tcPr>
          <w:p>
            <w:pPr>
              <w:rPr>
                <w:rFonts w:hint="eastAsia" w:ascii="仿宋_GB2312" w:hAnsi="宋体" w:eastAsia="仿宋_GB2312" w:cs="宋体"/>
                <w:color w:val="000000"/>
                <w:sz w:val="18"/>
                <w:szCs w:val="18"/>
              </w:rPr>
            </w:pP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中小学、幼儿园教师资格证书补发、换发政策及流程</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教师公开招聘</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教师招聘计划和公告、拟聘用人员名单公示</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《政府信息公开条例》、《事业单位公开招聘人员暂行规定》、《关于进一步规范事业单位公开招聘工作的通知》、《人力资源社会保障部关于事业单位公开招聘岗位条件设置有关问题的通知》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005"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教师</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行为</w:t>
            </w:r>
            <w:r>
              <w:rPr>
                <w:rFonts w:hint="eastAsia" w:ascii="仿宋_GB2312" w:hAnsi="宋体" w:eastAsia="仿宋_GB2312" w:cs="宋体"/>
                <w:color w:val="000000"/>
                <w:sz w:val="18"/>
                <w:szCs w:val="18"/>
              </w:rPr>
              <w:br w:type="textWrapping"/>
            </w:r>
            <w:r>
              <w:rPr>
                <w:rFonts w:hint="eastAsia" w:ascii="仿宋_GB2312" w:hAnsi="宋体" w:eastAsia="仿宋_GB2312" w:cs="宋体"/>
                <w:color w:val="000000"/>
                <w:sz w:val="18"/>
                <w:szCs w:val="18"/>
              </w:rPr>
              <w:t>规范</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教师职业行为准则及违规处理办法</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新时代高校教师职业行为十项准则》、《新时代中小学教师职业行为十项准则》、《新时代幼儿园教师职业行为十项准则》、《中小学教师违反职业道德行为处理办法（2018年修订）》、《幼儿园教师违反职业道德行为处理办法》等</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vMerge w:val="continue"/>
            <w:vAlign w:val="center"/>
          </w:tcPr>
          <w:p>
            <w:pPr>
              <w:rPr>
                <w:rFonts w:hint="eastAsia" w:ascii="仿宋_GB2312" w:hAnsi="宋体" w:eastAsia="仿宋_GB2312" w:cs="宋体"/>
                <w:color w:val="000000"/>
                <w:sz w:val="18"/>
                <w:szCs w:val="18"/>
              </w:rPr>
            </w:pP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对教师有严重违反教师职业行为准则的行政处罚信息</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005"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教师评优评先</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优秀教师的表彰、奖励等行政奖励信息公示</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《教师法》、《中共中央 国务院关于全面深化新时代教师队伍建设改革的意见》</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vMerge w:val="continue"/>
            <w:vAlign w:val="center"/>
          </w:tcPr>
          <w:p>
            <w:pPr>
              <w:rPr>
                <w:rFonts w:hint="eastAsia" w:ascii="仿宋_GB2312" w:hAnsi="宋体" w:eastAsia="仿宋_GB2312" w:cs="宋体"/>
                <w:color w:val="000000"/>
                <w:sz w:val="18"/>
                <w:szCs w:val="18"/>
              </w:rPr>
            </w:pP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任教30年乡村教师以上教师申请荣誉证书相关政策</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《政府信息公开条例》、《关于做好乡村学校从教30年教师荣誉证书颁发工作的通知》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教师职称评审</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评审政策、评审通知、学校拟推荐人选名单、评审结果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、最终结果</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《政府信息公开条例》、《人力资源社会保障部教育部关于印发深化中小学教师职称制度改革的指导意见的通知》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县级、乡级教育部门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教师</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20"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特岗教师招聘</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岗位设置管理政策、条件、程序等；特岗教师招聘文件及招聘公告；初审结果；笔试成绩；资格复审结果；参加面试人员、面试成绩；进入考察人员名单；拟聘用人员名单；最终聘用结果</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 人事部 中央编办 关于实施农村义务教育阶段学校教师特设岗位计划的通知》、《教育部 财政部 人力资源社会保障部 中央编办 关于继续组织实施“农村义务教育阶段学校教师特设岗位计划”的通知》等</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信息形成（变更）3个工作日内，公示时间不少于7个工作日</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547"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应聘</w:t>
            </w:r>
            <w:r>
              <w:rPr>
                <w:rFonts w:hint="eastAsia" w:ascii="仿宋_GB2312" w:hAnsi="仿宋" w:eastAsia="仿宋_GB2312"/>
                <w:color w:val="000000"/>
                <w:sz w:val="18"/>
                <w:szCs w:val="18"/>
              </w:rPr>
              <w:br w:type="textWrapping"/>
            </w:r>
            <w:r>
              <w:rPr>
                <w:rFonts w:hint="eastAsia" w:ascii="仿宋_GB2312" w:hAnsi="仿宋" w:eastAsia="仿宋_GB2312"/>
                <w:color w:val="000000"/>
                <w:sz w:val="18"/>
                <w:szCs w:val="18"/>
              </w:rPr>
              <w:t>人员</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7</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教师管理</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乡村教师生活补助</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管理制度、实施方案、实施时间、补助范围、发放对象、补助档次标准、发放情况</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 财政部关于落实2013年中央1号文件要求对在连片特困地区工作的乡村教师给予生活补助的通知》、《教育部关于加强乡村教师生活补助经费管理有关工作的通知》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信息形成（变更）3个工作日内；教师申领情况进行常年公示</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普通话培训及测试</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开展普通话培训、测试的通知；测试结果查询</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《政府信息公开条例》、《普通话水平测试管理规定》</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2294"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8</w:t>
            </w:r>
          </w:p>
        </w:tc>
        <w:tc>
          <w:tcPr>
            <w:tcW w:w="920" w:type="dxa"/>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100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控辍保学</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“一县一策”控辍保学工作方案；年度工作进展情况（含义务教育学生失学、辍学的总体情况，建档立卡家庭贫困学生总体就学情况）；督导检查结果公告；典型经验和有效做法</w:t>
            </w:r>
          </w:p>
        </w:tc>
        <w:tc>
          <w:tcPr>
            <w:tcW w:w="2520"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《政府信息公开条例》、《国务院办公厅关于进一步加强控辍保学提高义务教育巩固水平的通知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rPr>
                <w:rFonts w:hint="eastAsia" w:ascii="仿宋_GB2312" w:hAnsi="Times New Roman" w:eastAsia="仿宋_GB2312"/>
                <w:sz w:val="18"/>
                <w:szCs w:val="18"/>
              </w:rPr>
            </w:pPr>
            <w:r>
              <w:rPr>
                <w:rFonts w:hint="eastAsia" w:ascii="仿宋_GB2312" w:hAnsi="Times New Roman" w:eastAsia="仿宋_GB2312"/>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shd w:val="clear" w:color="auto" w:fill="auto"/>
            <w:vAlign w:val="center"/>
          </w:tcPr>
          <w:p>
            <w:pPr>
              <w:jc w:val="center"/>
              <w:rPr>
                <w:rFonts w:hint="eastAsia" w:ascii="仿宋_GB2312" w:hAnsi="宋体" w:eastAsia="仿宋_GB2312" w:cs="宋体"/>
                <w:color w:val="000000"/>
                <w:sz w:val="18"/>
                <w:szCs w:val="18"/>
              </w:rPr>
            </w:pP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重要政策执行情况</w:t>
            </w:r>
          </w:p>
        </w:tc>
        <w:tc>
          <w:tcPr>
            <w:tcW w:w="1005"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农村义务教育学生营养改善计划</w:t>
            </w: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有关政策法规、规章、规范性文件；组织机构和职责，举报电话、信箱或电子邮箱</w:t>
            </w:r>
            <w:r>
              <w:rPr>
                <w:rFonts w:hint="eastAsia" w:ascii="仿宋_GB2312" w:hAnsi="宋体" w:eastAsia="仿宋_GB2312"/>
                <w:sz w:val="18"/>
                <w:szCs w:val="18"/>
              </w:rPr>
              <w:br w:type="textWrapping"/>
            </w:r>
            <w:r>
              <w:rPr>
                <w:rFonts w:hint="eastAsia" w:ascii="仿宋_GB2312" w:hAnsi="宋体" w:eastAsia="仿宋_GB2312"/>
                <w:sz w:val="18"/>
                <w:szCs w:val="18"/>
              </w:rPr>
              <w:t>；供餐企业、托餐家庭名单</w:t>
            </w:r>
          </w:p>
        </w:tc>
        <w:tc>
          <w:tcPr>
            <w:tcW w:w="25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《国务院办公厅关于实施农村义务教育学生营养改善计划的意见》《教育部等十五部门关于印发〈农村义务教育学生营养改善计划实施细则〉等五个配套文件的通知》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vMerge w:val="continue"/>
            <w:vAlign w:val="center"/>
          </w:tcPr>
          <w:p>
            <w:pPr>
              <w:rPr>
                <w:rFonts w:hint="eastAsia" w:ascii="仿宋_GB2312" w:hAnsi="宋体" w:eastAsia="仿宋_GB2312" w:cs="宋体"/>
                <w:color w:val="000000"/>
                <w:sz w:val="18"/>
                <w:szCs w:val="18"/>
              </w:rPr>
            </w:pPr>
          </w:p>
        </w:tc>
        <w:tc>
          <w:tcPr>
            <w:tcW w:w="1855" w:type="dxa"/>
            <w:shd w:val="clear" w:color="auto" w:fill="auto"/>
            <w:vAlign w:val="center"/>
          </w:tcPr>
          <w:p>
            <w:pPr>
              <w:rPr>
                <w:rFonts w:hint="eastAsia" w:ascii="仿宋_GB2312" w:hAnsi="宋体" w:eastAsia="仿宋_GB2312" w:cs="宋体"/>
                <w:sz w:val="18"/>
                <w:szCs w:val="18"/>
              </w:rPr>
            </w:pPr>
            <w:r>
              <w:rPr>
                <w:rFonts w:hint="eastAsia" w:ascii="仿宋_GB2312" w:hAnsi="宋体" w:eastAsia="仿宋_GB2312"/>
                <w:sz w:val="18"/>
                <w:szCs w:val="18"/>
              </w:rPr>
              <w:t>学校食堂饭菜价格、带量食谱；学校膳食委员会名单；学校管理人员陪餐情况；食品安全突发事件应急预案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实施营养改善计划的试点学校</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vMerge w:val="continue"/>
            <w:vAlign w:val="center"/>
          </w:tcPr>
          <w:p>
            <w:pPr>
              <w:rPr>
                <w:rFonts w:hint="eastAsia" w:ascii="仿宋_GB2312" w:hAnsi="宋体" w:eastAsia="仿宋_GB2312" w:cs="宋体"/>
                <w:color w:val="000000"/>
                <w:sz w:val="18"/>
                <w:szCs w:val="18"/>
              </w:rPr>
            </w:pP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供餐企业（单位）配套管理制度，食品安全责任人、供餐方签约人；食品安全突发事件应急预案</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实施营养改善计划的供餐企业（单位）</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8</w:t>
            </w:r>
          </w:p>
        </w:tc>
        <w:tc>
          <w:tcPr>
            <w:tcW w:w="920" w:type="dxa"/>
            <w:vMerge w:val="restart"/>
            <w:shd w:val="clear" w:color="auto" w:fill="auto"/>
            <w:vAlign w:val="center"/>
          </w:tcPr>
          <w:p>
            <w:pPr>
              <w:jc w:val="center"/>
              <w:rPr>
                <w:rFonts w:hint="eastAsia" w:ascii="仿宋_GB2312" w:hAnsi="宋体" w:eastAsia="仿宋_GB2312" w:cs="宋体"/>
                <w:sz w:val="18"/>
                <w:szCs w:val="18"/>
              </w:rPr>
            </w:pPr>
            <w:r>
              <w:rPr>
                <w:rFonts w:hint="eastAsia" w:ascii="仿宋_GB2312" w:hAnsi="宋体" w:eastAsia="仿宋_GB2312"/>
                <w:sz w:val="18"/>
                <w:szCs w:val="18"/>
              </w:rPr>
              <w:t>重要政策执行情况</w:t>
            </w: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学校体育评价</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体育工作自评结果（体育课、体育训练、体育比赛、体育教师、体育场地、条件保障等）；学校体育发展年度报告（重点反映体育教学改革、体育教师配备、体育经费投入和体育场地设施、学生体质健康测试等方面的情况）</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《政府信息公开条例》、教育部关于印发《学生体质健康监测评价办法》等三个文件的通知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sz w:val="18"/>
                <w:szCs w:val="18"/>
              </w:rPr>
            </w:pPr>
          </w:p>
        </w:tc>
        <w:tc>
          <w:tcPr>
            <w:tcW w:w="920" w:type="dxa"/>
            <w:vMerge w:val="continue"/>
            <w:vAlign w:val="center"/>
          </w:tcPr>
          <w:p>
            <w:pPr>
              <w:rPr>
                <w:rFonts w:hint="eastAsia" w:ascii="仿宋_GB2312" w:hAnsi="宋体" w:eastAsia="仿宋_GB2312" w:cs="宋体"/>
                <w:sz w:val="18"/>
                <w:szCs w:val="18"/>
              </w:rPr>
            </w:pP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学校美育评价</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艺术教育工作自评结果（艺术课程、艺术活动、艺术教师、条件保障、特色发展及学生艺术素质测评等）；学校艺术教育发展年度报告（重点反映艺术课程建设、艺术教师配备、艺术教育管理、艺术教育经费投入和设施设备、课外艺术活动、校园文化艺术环境、重点项目推进以及中小学实施学校艺术教育工作自评制度等方面的情况）</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《政府信息公开条例》、教育部关于印发《中小学生艺术素质测评办法》等三个文件的通知</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sz w:val="18"/>
                <w:szCs w:val="18"/>
              </w:rPr>
            </w:pPr>
            <w:r>
              <w:rPr>
                <w:rFonts w:hint="eastAsia" w:ascii="仿宋_GB2312" w:hAnsi="仿宋" w:eastAsia="仿宋_GB2312"/>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Height w:val="1707" w:hRule="atLeast"/>
        </w:trPr>
        <w:tc>
          <w:tcPr>
            <w:tcW w:w="540" w:type="dxa"/>
            <w:vMerge w:val="restart"/>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9</w:t>
            </w:r>
          </w:p>
        </w:tc>
        <w:tc>
          <w:tcPr>
            <w:tcW w:w="920" w:type="dxa"/>
            <w:vMerge w:val="restart"/>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 xml:space="preserve">    教育督导</w:t>
            </w:r>
          </w:p>
        </w:tc>
        <w:tc>
          <w:tcPr>
            <w:tcW w:w="100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机构队伍</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督导部门组成、督学名单、</w:t>
            </w:r>
          </w:p>
        </w:tc>
        <w:tc>
          <w:tcPr>
            <w:tcW w:w="2520" w:type="dxa"/>
            <w:vMerge w:val="restart"/>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《教育督导条例》、《县域义务教育均衡发展督导评估暂行办法》、《县域义务教育优质均衡发展督导评估办法》</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学校督导评估</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年度督导工作计划内容、责任区划分和责任督学名单、责任督学日常督导事项，学校督导评估的办法、指标体系、督导评估报告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vMerge w:val="continue"/>
            <w:vAlign w:val="center"/>
          </w:tcPr>
          <w:p>
            <w:pPr>
              <w:rPr>
                <w:rFonts w:hint="eastAsia" w:ascii="仿宋_GB2312" w:hAnsi="宋体" w:eastAsia="仿宋_GB2312" w:cs="宋体"/>
                <w:color w:val="000000"/>
                <w:sz w:val="18"/>
                <w:szCs w:val="18"/>
              </w:rPr>
            </w:pPr>
          </w:p>
        </w:tc>
        <w:tc>
          <w:tcPr>
            <w:tcW w:w="920" w:type="dxa"/>
            <w:vMerge w:val="continue"/>
            <w:vAlign w:val="center"/>
          </w:tcPr>
          <w:p>
            <w:pPr>
              <w:rPr>
                <w:rFonts w:hint="eastAsia" w:ascii="仿宋_GB2312" w:hAnsi="宋体" w:eastAsia="仿宋_GB2312" w:cs="宋体"/>
                <w:color w:val="000000"/>
                <w:sz w:val="18"/>
                <w:szCs w:val="18"/>
              </w:rPr>
            </w:pP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义务教育均衡发展督导评估</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义务教育均衡发展有关政策文件、职责权限、管理流程、监督方式、年度工作计划等，义务教育均衡发展状况自评方案及结果，省级教育督导机构对县进行督导评估的工作安排、评估结果</w:t>
            </w:r>
            <w:r>
              <w:rPr>
                <w:rFonts w:hint="eastAsia" w:ascii="仿宋_GB2312" w:hAnsi="宋体" w:eastAsia="仿宋_GB2312"/>
                <w:color w:val="000000"/>
                <w:sz w:val="18"/>
                <w:szCs w:val="18"/>
              </w:rPr>
              <w:br w:type="textWrapping"/>
            </w:r>
            <w:r>
              <w:rPr>
                <w:rFonts w:hint="eastAsia" w:ascii="仿宋_GB2312" w:hAnsi="宋体" w:eastAsia="仿宋_GB2312"/>
                <w:color w:val="000000"/>
                <w:sz w:val="18"/>
                <w:szCs w:val="18"/>
              </w:rPr>
              <w:t>国务院教育督导委员会对义务教育发展均衡县进行认定的结果、报告</w:t>
            </w:r>
          </w:p>
        </w:tc>
        <w:tc>
          <w:tcPr>
            <w:tcW w:w="2520" w:type="dxa"/>
            <w:vMerge w:val="continue"/>
            <w:vAlign w:val="center"/>
          </w:tcPr>
          <w:p>
            <w:pPr>
              <w:rPr>
                <w:rFonts w:hint="eastAsia" w:ascii="仿宋_GB2312" w:hAnsi="宋体" w:eastAsia="仿宋_GB2312" w:cs="宋体"/>
                <w:color w:val="000000"/>
                <w:sz w:val="18"/>
                <w:szCs w:val="18"/>
              </w:rPr>
            </w:pP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4" w:type="dxa"/>
          <w:cantSplit/>
        </w:trPr>
        <w:tc>
          <w:tcPr>
            <w:tcW w:w="540" w:type="dxa"/>
            <w:shd w:val="clear" w:color="auto" w:fill="auto"/>
            <w:noWrap/>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10</w:t>
            </w:r>
          </w:p>
        </w:tc>
        <w:tc>
          <w:tcPr>
            <w:tcW w:w="920" w:type="dxa"/>
            <w:shd w:val="clear" w:color="auto" w:fill="auto"/>
            <w:vAlign w:val="center"/>
          </w:tcPr>
          <w:p>
            <w:pPr>
              <w:jc w:val="center"/>
              <w:rPr>
                <w:rFonts w:hint="eastAsia" w:ascii="仿宋_GB2312" w:hAnsi="宋体" w:eastAsia="仿宋_GB2312"/>
                <w:color w:val="000000"/>
                <w:sz w:val="18"/>
                <w:szCs w:val="18"/>
              </w:rPr>
            </w:pPr>
            <w:r>
              <w:rPr>
                <w:rFonts w:hint="eastAsia" w:ascii="仿宋_GB2312" w:hAnsi="宋体" w:eastAsia="仿宋_GB2312"/>
                <w:color w:val="000000"/>
                <w:sz w:val="18"/>
                <w:szCs w:val="18"/>
              </w:rPr>
              <w:t>校园安全</w:t>
            </w:r>
          </w:p>
        </w:tc>
        <w:tc>
          <w:tcPr>
            <w:tcW w:w="1005" w:type="dxa"/>
            <w:shd w:val="clear" w:color="auto" w:fill="auto"/>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w:t>
            </w:r>
          </w:p>
        </w:tc>
        <w:tc>
          <w:tcPr>
            <w:tcW w:w="1855"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校园安全管理法律法规、配套管理制度，学生住宿、用餐、组织活动等安全管理情况，校园安全突发事件应急预案、预警信息、应对情况、调查处理情况，校车使用许可申请政策规定及申请流程</w:t>
            </w:r>
          </w:p>
        </w:tc>
        <w:tc>
          <w:tcPr>
            <w:tcW w:w="2520" w:type="dxa"/>
            <w:shd w:val="clear" w:color="auto" w:fill="auto"/>
            <w:vAlign w:val="center"/>
          </w:tcPr>
          <w:p>
            <w:pPr>
              <w:rPr>
                <w:rFonts w:hint="eastAsia" w:ascii="仿宋_GB2312" w:hAnsi="宋体" w:eastAsia="仿宋_GB2312" w:cs="宋体"/>
                <w:color w:val="000000"/>
                <w:sz w:val="18"/>
                <w:szCs w:val="18"/>
              </w:rPr>
            </w:pPr>
            <w:r>
              <w:rPr>
                <w:rFonts w:hint="eastAsia" w:ascii="仿宋_GB2312" w:hAnsi="宋体" w:eastAsia="仿宋_GB2312"/>
                <w:color w:val="000000"/>
                <w:sz w:val="18"/>
                <w:szCs w:val="18"/>
              </w:rPr>
              <w:t>《政府信息公开条例》、《国务院办公厅关于加强中小学幼儿园安全风险防控体系建设的意见》、《教育部关于推进中小学信息公开工作的意见》、《校车安全管理条例》</w:t>
            </w:r>
          </w:p>
        </w:tc>
        <w:tc>
          <w:tcPr>
            <w:tcW w:w="1620"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信息形成或者变更之日起20个工作日内</w:t>
            </w:r>
          </w:p>
        </w:tc>
        <w:tc>
          <w:tcPr>
            <w:tcW w:w="1909"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县（市、区）教育部门</w:t>
            </w:r>
          </w:p>
        </w:tc>
        <w:tc>
          <w:tcPr>
            <w:tcW w:w="841"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47" w:type="dxa"/>
            <w:shd w:val="clear" w:color="auto" w:fill="auto"/>
            <w:vAlign w:val="center"/>
          </w:tcPr>
          <w:p>
            <w:pP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443" w:type="dxa"/>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513" w:type="dxa"/>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c>
          <w:tcPr>
            <w:tcW w:w="720" w:type="dxa"/>
            <w:gridSpan w:val="2"/>
            <w:shd w:val="clear" w:color="auto" w:fill="auto"/>
            <w:noWrap/>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w:t>
            </w:r>
          </w:p>
        </w:tc>
        <w:tc>
          <w:tcPr>
            <w:tcW w:w="720" w:type="dxa"/>
            <w:gridSpan w:val="2"/>
            <w:shd w:val="clear" w:color="auto" w:fill="auto"/>
            <w:vAlign w:val="center"/>
          </w:tcPr>
          <w:p>
            <w:pPr>
              <w:jc w:val="center"/>
              <w:rPr>
                <w:rFonts w:hint="eastAsia" w:ascii="仿宋_GB2312" w:hAnsi="仿宋" w:eastAsia="仿宋_GB2312" w:cs="宋体"/>
                <w:color w:val="000000"/>
                <w:sz w:val="18"/>
                <w:szCs w:val="18"/>
              </w:rPr>
            </w:pPr>
            <w:r>
              <w:rPr>
                <w:rFonts w:hint="eastAsia" w:ascii="仿宋_GB2312" w:hAnsi="仿宋" w:eastAsia="仿宋_GB2312"/>
                <w:color w:val="000000"/>
                <w:sz w:val="18"/>
                <w:szCs w:val="18"/>
              </w:rPr>
              <w:t>　</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ongolian Baiti">
    <w:altName w:val="Monotype Corsiva"/>
    <w:panose1 w:val="03000500000000000000"/>
    <w:charset w:val="00"/>
    <w:family w:val="script"/>
    <w:pitch w:val="default"/>
    <w:sig w:usb0="00000000" w:usb1="00000000" w:usb2="00020000" w:usb3="00000000" w:csb0="00000001"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方正小标宋_GBK">
    <w:altName w:val="微软雅黑"/>
    <w:panose1 w:val="03000509000000000000"/>
    <w:charset w:val="86"/>
    <w:family w:val="script"/>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仿宋">
    <w:altName w:val="微软雅黑"/>
    <w:panose1 w:val="02010609060101010101"/>
    <w:charset w:val="86"/>
    <w:family w:val="modern"/>
    <w:pitch w:val="default"/>
    <w:sig w:usb0="00000000" w:usb1="00000000" w:usb2="00000016" w:usb3="00000000" w:csb0="00040001" w:csb1="00000000"/>
  </w:font>
  <w:font w:name="微软雅黑">
    <w:panose1 w:val="020B0503020204020204"/>
    <w:charset w:val="86"/>
    <w:family w:val="auto"/>
    <w:pitch w:val="default"/>
    <w:sig w:usb0="80000287" w:usb1="2A0F3C52" w:usb2="00000016" w:usb3="00000000" w:csb0="0004001F" w:csb1="00000000"/>
  </w:font>
  <w:font w:name="Monotype Corsiva">
    <w:panose1 w:val="03010101010201010101"/>
    <w:charset w:val="00"/>
    <w:family w:val="auto"/>
    <w:pitch w:val="default"/>
    <w:sig w:usb0="00000287" w:usb1="00000000" w:usb2="00000000" w:usb3="00000000" w:csb0="2000009F" w:csb1="DFD7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393"/>
    <w:rsid w:val="001E6D63"/>
    <w:rsid w:val="002967AA"/>
    <w:rsid w:val="002E0878"/>
    <w:rsid w:val="00416393"/>
    <w:rsid w:val="6BD879B7"/>
  </w:rsids>
  <m:mathPr>
    <m:mathFont m:val="Cambria Math"/>
    <m:brkBin m:val="before"/>
    <m:brkBinSub m:val="--"/>
    <m:smallFrac m:val="0"/>
    <m:dispDef/>
    <m:lMargin m:val="0"/>
    <m:rMargin m:val="0"/>
    <m:defJc m:val="centerGroup"/>
    <m:wrapIndent m:val="1440"/>
    <m:intLim m:val="subSup"/>
    <m:naryLim m:val="undOvr"/>
  </m:mathPr>
  <w:themeFontLang w:val="en-US" w:eastAsia="zh-CN" w:bidi="mn-Mong-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name="annotation text"/>
    <w:lsdException w:unhideWhenUsed="0" w:uiPriority="0"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nhideWhenUsed="0"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nhideWhenUsed="0" w:uiPriority="0" w:name="Balloon Text"/>
    <w:lsdException w:qFormat="1"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5"/>
    <w:qFormat/>
    <w:uiPriority w:val="0"/>
    <w:pPr>
      <w:keepNext/>
      <w:keepLines/>
      <w:spacing w:before="340" w:after="330" w:line="578" w:lineRule="auto"/>
      <w:outlineLvl w:val="0"/>
    </w:pPr>
    <w:rPr>
      <w:b/>
      <w:bCs/>
      <w:kern w:val="44"/>
      <w:sz w:val="44"/>
      <w:szCs w:val="44"/>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annotation text"/>
    <w:basedOn w:val="1"/>
    <w:link w:val="17"/>
    <w:semiHidden/>
    <w:uiPriority w:val="0"/>
    <w:pPr>
      <w:jc w:val="left"/>
    </w:pPr>
  </w:style>
  <w:style w:type="paragraph" w:styleId="4">
    <w:name w:val="Balloon Text"/>
    <w:basedOn w:val="1"/>
    <w:link w:val="19"/>
    <w:semiHidden/>
    <w:uiPriority w:val="0"/>
    <w:rPr>
      <w:sz w:val="18"/>
      <w:szCs w:val="18"/>
    </w:rPr>
  </w:style>
  <w:style w:type="paragraph" w:styleId="5">
    <w:name w:val="footer"/>
    <w:basedOn w:val="1"/>
    <w:link w:val="22"/>
    <w:uiPriority w:val="0"/>
    <w:pPr>
      <w:tabs>
        <w:tab w:val="center" w:pos="4153"/>
        <w:tab w:val="right" w:pos="8306"/>
      </w:tabs>
      <w:snapToGrid w:val="0"/>
      <w:jc w:val="left"/>
    </w:pPr>
    <w:rPr>
      <w:sz w:val="18"/>
      <w:szCs w:val="18"/>
    </w:rPr>
  </w:style>
  <w:style w:type="paragraph" w:styleId="6">
    <w:name w:val="header"/>
    <w:basedOn w:val="1"/>
    <w:link w:val="21"/>
    <w:uiPriority w:val="0"/>
    <w:pPr>
      <w:pBdr>
        <w:bottom w:val="single" w:color="auto" w:sz="6" w:space="1"/>
      </w:pBdr>
      <w:tabs>
        <w:tab w:val="center" w:pos="4153"/>
        <w:tab w:val="right" w:pos="8306"/>
      </w:tabs>
      <w:snapToGrid w:val="0"/>
      <w:jc w:val="center"/>
    </w:pPr>
    <w:rPr>
      <w:sz w:val="18"/>
      <w:szCs w:val="18"/>
    </w:rPr>
  </w:style>
  <w:style w:type="paragraph" w:styleId="7">
    <w:name w:val="toc 1"/>
    <w:basedOn w:val="1"/>
    <w:next w:val="1"/>
    <w:semiHidden/>
    <w:uiPriority w:val="0"/>
    <w:pPr>
      <w:tabs>
        <w:tab w:val="right" w:leader="dot" w:pos="14760"/>
      </w:tabs>
      <w:spacing w:line="700" w:lineRule="exact"/>
      <w:ind w:left="359" w:leftChars="171" w:right="332" w:rightChars="158"/>
    </w:pPr>
  </w:style>
  <w:style w:type="paragraph" w:styleId="8">
    <w:name w:val="annotation subject"/>
    <w:basedOn w:val="3"/>
    <w:next w:val="3"/>
    <w:link w:val="18"/>
    <w:semiHidden/>
    <w:uiPriority w:val="0"/>
    <w:rPr>
      <w:b/>
      <w:bCs/>
    </w:rPr>
  </w:style>
  <w:style w:type="table" w:styleId="10">
    <w:name w:val="Table Grid"/>
    <w:basedOn w:val="9"/>
    <w:qFormat/>
    <w:uiPriority w:val="0"/>
    <w:rPr>
      <w:rFonts w:ascii="Calibri" w:hAnsi="Calibri" w:eastAsia="宋体" w:cs="Times New Roman"/>
      <w:kern w:val="0"/>
      <w:sz w:val="20"/>
      <w:szCs w:val="20"/>
      <w:lang w:bidi="mn-Mong-C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2">
    <w:name w:val="page number"/>
    <w:basedOn w:val="11"/>
    <w:uiPriority w:val="0"/>
  </w:style>
  <w:style w:type="character" w:styleId="13">
    <w:name w:val="Hyperlink"/>
    <w:uiPriority w:val="0"/>
    <w:rPr>
      <w:color w:val="0000FF"/>
      <w:u w:val="single"/>
    </w:rPr>
  </w:style>
  <w:style w:type="character" w:styleId="14">
    <w:name w:val="annotation reference"/>
    <w:semiHidden/>
    <w:uiPriority w:val="0"/>
    <w:rPr>
      <w:sz w:val="21"/>
      <w:szCs w:val="21"/>
    </w:rPr>
  </w:style>
  <w:style w:type="character" w:customStyle="1" w:styleId="15">
    <w:name w:val="标题 1 字符"/>
    <w:basedOn w:val="11"/>
    <w:link w:val="2"/>
    <w:qFormat/>
    <w:uiPriority w:val="0"/>
    <w:rPr>
      <w:rFonts w:ascii="Calibri" w:hAnsi="Calibri" w:eastAsia="宋体" w:cs="Times New Roman"/>
      <w:b/>
      <w:bCs/>
      <w:kern w:val="44"/>
      <w:sz w:val="44"/>
      <w:szCs w:val="44"/>
    </w:rPr>
  </w:style>
  <w:style w:type="paragraph" w:customStyle="1" w:styleId="16">
    <w:name w:val="列出段落"/>
    <w:basedOn w:val="1"/>
    <w:qFormat/>
    <w:uiPriority w:val="0"/>
    <w:pPr>
      <w:ind w:firstLine="420" w:firstLineChars="200"/>
    </w:pPr>
    <w:rPr>
      <w:rFonts w:ascii="等线" w:hAnsi="等线" w:eastAsia="等线"/>
    </w:rPr>
  </w:style>
  <w:style w:type="character" w:customStyle="1" w:styleId="17">
    <w:name w:val="批注文字 字符"/>
    <w:basedOn w:val="11"/>
    <w:link w:val="3"/>
    <w:semiHidden/>
    <w:uiPriority w:val="0"/>
    <w:rPr>
      <w:rFonts w:ascii="Calibri" w:hAnsi="Calibri" w:eastAsia="宋体" w:cs="Times New Roman"/>
    </w:rPr>
  </w:style>
  <w:style w:type="character" w:customStyle="1" w:styleId="18">
    <w:name w:val="批注主题 字符"/>
    <w:basedOn w:val="17"/>
    <w:link w:val="8"/>
    <w:semiHidden/>
    <w:uiPriority w:val="0"/>
    <w:rPr>
      <w:rFonts w:ascii="Calibri" w:hAnsi="Calibri" w:eastAsia="宋体" w:cs="Times New Roman"/>
      <w:b/>
      <w:bCs/>
    </w:rPr>
  </w:style>
  <w:style w:type="character" w:customStyle="1" w:styleId="19">
    <w:name w:val="批注框文本 字符"/>
    <w:basedOn w:val="11"/>
    <w:link w:val="4"/>
    <w:semiHidden/>
    <w:uiPriority w:val="0"/>
    <w:rPr>
      <w:rFonts w:ascii="Calibri" w:hAnsi="Calibri" w:eastAsia="宋体" w:cs="Times New Roman"/>
      <w:sz w:val="18"/>
      <w:szCs w:val="18"/>
    </w:rPr>
  </w:style>
  <w:style w:type="paragraph" w:customStyle="1" w:styleId="20">
    <w:name w:val="列出段落1"/>
    <w:basedOn w:val="1"/>
    <w:uiPriority w:val="0"/>
    <w:pPr>
      <w:ind w:firstLine="420" w:firstLineChars="200"/>
    </w:pPr>
  </w:style>
  <w:style w:type="character" w:customStyle="1" w:styleId="21">
    <w:name w:val="页眉 字符"/>
    <w:basedOn w:val="11"/>
    <w:link w:val="6"/>
    <w:uiPriority w:val="0"/>
    <w:rPr>
      <w:rFonts w:ascii="Calibri" w:hAnsi="Calibri" w:eastAsia="宋体" w:cs="Times New Roman"/>
      <w:sz w:val="18"/>
      <w:szCs w:val="18"/>
    </w:rPr>
  </w:style>
  <w:style w:type="character" w:customStyle="1" w:styleId="22">
    <w:name w:val="页脚 字符"/>
    <w:basedOn w:val="11"/>
    <w:link w:val="5"/>
    <w:uiPriority w:val="0"/>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979</Words>
  <Characters>5581</Characters>
  <Lines>46</Lines>
  <Paragraphs>13</Paragraphs>
  <TotalTime>1</TotalTime>
  <ScaleCrop>false</ScaleCrop>
  <LinksUpToDate>false</LinksUpToDate>
  <CharactersWithSpaces>6547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2020-03-06T04:05:00Z</dcterms:created>
  <dc:creator>tai yuzhu</dc:creator>
  <cp:lastModifiedBy>几一嘤</cp:lastModifiedBy>
  <cp:lastPrinted>2020-10-15T08:05:00Z</cp:lastPrinted>
  <dcterms:modified xsi:type="dcterms:W3CDTF">2020-10-15T08:16:01Z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