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6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（十三）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环境保护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全本；拟决定环节：拟审查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危险废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物经营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受理环节：受理通知书；拟决定环节：向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有关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和专家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征求意见、决定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前公示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等；决定环节：危险废物经营许可证信息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16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市级生态环境部门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■便民服务站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C4DCA"/>
    <w:rsid w:val="002E0878"/>
    <w:rsid w:val="003B2C77"/>
    <w:rsid w:val="004077CB"/>
    <w:rsid w:val="00416393"/>
    <w:rsid w:val="00612901"/>
    <w:rsid w:val="008438B0"/>
    <w:rsid w:val="00902A01"/>
    <w:rsid w:val="00A41EEC"/>
    <w:rsid w:val="00C3715A"/>
    <w:rsid w:val="00FA002F"/>
    <w:rsid w:val="1DA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49998-C944-491F-9EEA-2F7271A6CF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618</Words>
  <Characters>3525</Characters>
  <Lines>29</Lines>
  <Paragraphs>8</Paragraphs>
  <TotalTime>1</TotalTime>
  <ScaleCrop>false</ScaleCrop>
  <LinksUpToDate>false</LinksUpToDate>
  <CharactersWithSpaces>4135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tai yuzhu</dc:creator>
  <cp:lastModifiedBy>上好佳妮兒</cp:lastModifiedBy>
  <dcterms:modified xsi:type="dcterms:W3CDTF">2020-11-11T08:38:00Z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