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lang w:eastAsia="zh-CN"/>
        </w:rPr>
        <w:t>黄河西街道办事处</w:t>
      </w:r>
      <w:r>
        <w:rPr>
          <w:rFonts w:hint="eastAsia" w:ascii="方正小标宋_GBK" w:hAnsi="方正小标宋_GBK" w:eastAsia="方正小标宋_GBK"/>
          <w:b w:val="0"/>
          <w:bCs w:val="0"/>
          <w:sz w:val="30"/>
        </w:rPr>
        <w:t>基层政务公开标准目录</w:t>
      </w:r>
      <w:bookmarkEnd w:id="0"/>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就业问题</w:t>
            </w:r>
          </w:p>
        </w:tc>
        <w:tc>
          <w:tcPr>
            <w:tcW w:w="108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就业困难难人员的认定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■基层公共服务平台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零就业家庭认定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hAnsi="宋体" w:eastAsia="仿宋_GB2312"/>
                <w:color w:val="000000"/>
                <w:sz w:val="18"/>
                <w:szCs w:val="18"/>
              </w:rPr>
              <w:t>人力资源社会保障部门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公益性岗位招聘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hAnsi="宋体" w:eastAsia="仿宋_GB2312"/>
                <w:color w:val="000000"/>
                <w:sz w:val="18"/>
                <w:szCs w:val="18"/>
              </w:rPr>
              <w:t>人力资源社会保障部门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包头市促进就业券发放</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hAnsi="宋体" w:eastAsia="仿宋_GB2312"/>
                <w:color w:val="000000"/>
                <w:sz w:val="18"/>
                <w:szCs w:val="18"/>
              </w:rPr>
              <w:t>人力资源社会保障部门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城乡居民养老保险参保登记</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520" w:type="dxa"/>
            <w:noWrap w:val="0"/>
            <w:vAlign w:val="top"/>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宋体"/>
                <w:bCs/>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s="宋体"/>
                <w:bCs/>
                <w:sz w:val="18"/>
                <w:szCs w:val="18"/>
              </w:rPr>
            </w:pP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■基层公共服务平台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hAnsi="宋体" w:eastAsia="仿宋_GB2312"/>
                <w:color w:val="000000"/>
                <w:sz w:val="18"/>
                <w:szCs w:val="18"/>
              </w:rPr>
              <w:t>城乡居民养老保险待遇申领</w:t>
            </w:r>
          </w:p>
        </w:tc>
        <w:tc>
          <w:tcPr>
            <w:tcW w:w="2520" w:type="dxa"/>
            <w:noWrap w:val="0"/>
            <w:vAlign w:val="center"/>
          </w:tcPr>
          <w:p>
            <w:pPr>
              <w:rPr>
                <w:rFonts w:hint="eastAsia" w:ascii="仿宋_GB2312" w:hAnsi="宋体" w:eastAsia="仿宋_GB2312" w:cs="宋体"/>
                <w:bCs/>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520" w:type="dxa"/>
            <w:noWrap w:val="0"/>
            <w:vAlign w:val="top"/>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宋体"/>
                <w:bCs/>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s="宋体"/>
                <w:bCs/>
                <w:sz w:val="18"/>
                <w:szCs w:val="18"/>
              </w:rPr>
            </w:pP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■基层公共服务平台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最低生活保障</w:t>
            </w:r>
          </w:p>
        </w:tc>
        <w:tc>
          <w:tcPr>
            <w:tcW w:w="108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政策法规</w:t>
            </w:r>
          </w:p>
          <w:p>
            <w:pPr>
              <w:jc w:val="cente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《信息公开条例》及相关规定</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 xml:space="preserve">■政务服务中心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240" w:lineRule="exact"/>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664"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08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240" w:lineRule="exact"/>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664" w:type="dxa"/>
            <w:noWrap w:val="0"/>
            <w:vAlign w:val="center"/>
          </w:tcPr>
          <w:p>
            <w:pPr>
              <w:rPr>
                <w:rFonts w:hint="eastAsia" w:ascii="仿宋_GB2312" w:eastAsia="仿宋_GB2312"/>
                <w:bCs/>
                <w:sz w:val="18"/>
                <w:szCs w:val="18"/>
              </w:rPr>
            </w:pPr>
          </w:p>
        </w:tc>
        <w:tc>
          <w:tcPr>
            <w:tcW w:w="720" w:type="dxa"/>
            <w:noWrap w:val="0"/>
            <w:vAlign w:val="center"/>
          </w:tcPr>
          <w:p>
            <w:pPr>
              <w:rPr>
                <w:rFonts w:hint="eastAsia" w:ascii="仿宋_GB2312" w:eastAsia="仿宋_GB2312"/>
                <w:bCs/>
                <w:color w:val="000000"/>
                <w:sz w:val="18"/>
                <w:szCs w:val="18"/>
              </w:rPr>
            </w:pPr>
          </w:p>
        </w:tc>
        <w:tc>
          <w:tcPr>
            <w:tcW w:w="720" w:type="dxa"/>
            <w:noWrap w:val="0"/>
            <w:vAlign w:val="center"/>
          </w:tcPr>
          <w:p>
            <w:pPr>
              <w:rPr>
                <w:rFonts w:hint="eastAsia" w:ascii="仿宋_GB2312" w:eastAsia="仿宋_GB2312"/>
                <w:bCs/>
                <w:sz w:val="18"/>
                <w:szCs w:val="18"/>
              </w:rPr>
            </w:pPr>
          </w:p>
        </w:tc>
        <w:tc>
          <w:tcPr>
            <w:tcW w:w="720" w:type="dxa"/>
            <w:noWrap w:val="0"/>
            <w:vAlign w:val="center"/>
          </w:tcPr>
          <w:p>
            <w:pPr>
              <w:rPr>
                <w:rFonts w:hint="eastAsia" w:ascii="仿宋_GB2312" w:eastAsia="仿宋_GB2312"/>
                <w:bCs/>
                <w:color w:val="000000"/>
                <w:sz w:val="18"/>
                <w:szCs w:val="18"/>
              </w:rPr>
            </w:pPr>
          </w:p>
        </w:tc>
        <w:tc>
          <w:tcPr>
            <w:tcW w:w="540" w:type="dxa"/>
            <w:noWrap w:val="0"/>
            <w:vAlign w:val="center"/>
          </w:tcPr>
          <w:p>
            <w:pPr>
              <w:rPr>
                <w:rFonts w:hint="eastAsia" w:ascii="仿宋_GB2312" w:eastAsia="仿宋_GB2312"/>
                <w:bCs/>
                <w:sz w:val="18"/>
                <w:szCs w:val="18"/>
              </w:rPr>
            </w:pPr>
          </w:p>
        </w:tc>
        <w:tc>
          <w:tcPr>
            <w:tcW w:w="540" w:type="dxa"/>
            <w:noWrap w:val="0"/>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08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64" w:type="dxa"/>
            <w:noWrap w:val="0"/>
            <w:vAlign w:val="center"/>
          </w:tcPr>
          <w:p>
            <w:pPr>
              <w:rPr>
                <w:rFonts w:hint="eastAsia" w:ascii="仿宋_GB2312" w:eastAsia="仿宋_GB2312"/>
                <w:bCs/>
                <w:sz w:val="18"/>
                <w:szCs w:val="18"/>
              </w:rPr>
            </w:pPr>
          </w:p>
        </w:tc>
        <w:tc>
          <w:tcPr>
            <w:tcW w:w="720" w:type="dxa"/>
            <w:noWrap w:val="0"/>
            <w:vAlign w:val="center"/>
          </w:tcPr>
          <w:p>
            <w:pPr>
              <w:rPr>
                <w:rFonts w:hint="eastAsia" w:ascii="仿宋_GB2312" w:eastAsia="仿宋_GB2312"/>
                <w:bCs/>
                <w:color w:val="000000"/>
                <w:sz w:val="18"/>
                <w:szCs w:val="18"/>
              </w:rPr>
            </w:pPr>
          </w:p>
        </w:tc>
        <w:tc>
          <w:tcPr>
            <w:tcW w:w="720" w:type="dxa"/>
            <w:noWrap w:val="0"/>
            <w:vAlign w:val="center"/>
          </w:tcPr>
          <w:p>
            <w:pPr>
              <w:rPr>
                <w:rFonts w:hint="eastAsia" w:ascii="仿宋_GB2312" w:eastAsia="仿宋_GB2312"/>
                <w:bCs/>
                <w:sz w:val="18"/>
                <w:szCs w:val="18"/>
              </w:rPr>
            </w:pPr>
          </w:p>
        </w:tc>
        <w:tc>
          <w:tcPr>
            <w:tcW w:w="720" w:type="dxa"/>
            <w:noWrap w:val="0"/>
            <w:vAlign w:val="center"/>
          </w:tcPr>
          <w:p>
            <w:pPr>
              <w:rPr>
                <w:rFonts w:hint="eastAsia" w:ascii="仿宋_GB2312" w:eastAsia="仿宋_GB2312"/>
                <w:bCs/>
                <w:color w:val="000000"/>
                <w:sz w:val="18"/>
                <w:szCs w:val="18"/>
              </w:rPr>
            </w:pPr>
          </w:p>
        </w:tc>
        <w:tc>
          <w:tcPr>
            <w:tcW w:w="540" w:type="dxa"/>
            <w:noWrap w:val="0"/>
            <w:vAlign w:val="center"/>
          </w:tcPr>
          <w:p>
            <w:pPr>
              <w:rPr>
                <w:rFonts w:hint="eastAsia" w:ascii="仿宋_GB2312" w:eastAsia="仿宋_GB2312"/>
                <w:bCs/>
                <w:sz w:val="18"/>
                <w:szCs w:val="18"/>
              </w:rPr>
            </w:pPr>
          </w:p>
        </w:tc>
        <w:tc>
          <w:tcPr>
            <w:tcW w:w="540" w:type="dxa"/>
            <w:noWrap w:val="0"/>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vMerge w:val="restart"/>
            <w:noWrap w:val="0"/>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olor w:val="000000"/>
                <w:sz w:val="18"/>
                <w:szCs w:val="18"/>
              </w:rPr>
              <w:t>特困人员救助供养</w:t>
            </w:r>
          </w:p>
        </w:tc>
        <w:tc>
          <w:tcPr>
            <w:tcW w:w="108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hAnsi="宋体" w:eastAsia="仿宋_GB2312"/>
                <w:color w:val="000000"/>
                <w:sz w:val="18"/>
                <w:szCs w:val="18"/>
              </w:rPr>
              <w:t xml:space="preserve">社区/企事业单位/村公示栏（电子屏）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p>
        </w:tc>
        <w:tc>
          <w:tcPr>
            <w:tcW w:w="540" w:type="dxa"/>
            <w:noWrap w:val="0"/>
            <w:vAlign w:val="center"/>
          </w:tcPr>
          <w:p>
            <w:pPr>
              <w:jc w:val="cente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审批信息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特困人员名单及相关信息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 xml:space="preserve">■社区/企事业单位/村公示栏（电子屏）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jc w:val="cente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临时救助</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办事指南</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■社区/企事业单位/村公示栏（电子屏）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90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教育救助</w:t>
            </w:r>
          </w:p>
        </w:tc>
        <w:tc>
          <w:tcPr>
            <w:tcW w:w="1080" w:type="dxa"/>
            <w:noWrap w:val="0"/>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办事指南</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《国务院关于全面建立临时救助制度的通知》、各地相关政策法规文件</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hAnsi="宋体" w:eastAsia="仿宋_GB2312"/>
                <w:color w:val="000000"/>
                <w:sz w:val="18"/>
                <w:szCs w:val="18"/>
              </w:rPr>
              <w:t>■社区/企事业单位/村公示栏（电子屏）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敬老爱心卡的办理和发放</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lang w:eastAsia="zh-CN"/>
              </w:rPr>
              <w:t>办事指南</w:t>
            </w:r>
          </w:p>
        </w:tc>
        <w:tc>
          <w:tcPr>
            <w:tcW w:w="2520" w:type="dxa"/>
            <w:noWrap w:val="0"/>
            <w:vAlign w:val="center"/>
          </w:tcPr>
          <w:p>
            <w:pPr>
              <w:jc w:val="left"/>
              <w:rPr>
                <w:rFonts w:hint="eastAsia" w:ascii="仿宋_GB2312" w:hAnsi="宋体" w:eastAsia="仿宋_GB2312" w:cs="宋体"/>
                <w:bCs/>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■社区/企事业单位/村公示栏（电子屏）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jc w:val="cente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90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困境儿童保障</w:t>
            </w:r>
          </w:p>
        </w:tc>
        <w:tc>
          <w:tcPr>
            <w:tcW w:w="108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办事指南</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《国务院关于全面建立临时救助制度的通知》、各地相关政策法规文件</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hAnsi="宋体" w:eastAsia="仿宋_GB2312"/>
                <w:color w:val="000000"/>
                <w:sz w:val="18"/>
                <w:szCs w:val="18"/>
              </w:rPr>
              <w:t>■社区/企事业单位/村公示栏（电子屏）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17</w:t>
            </w:r>
          </w:p>
        </w:tc>
        <w:tc>
          <w:tcPr>
            <w:tcW w:w="90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最低保障金享受户的大病救助、春节救助</w:t>
            </w:r>
          </w:p>
        </w:tc>
        <w:tc>
          <w:tcPr>
            <w:tcW w:w="108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办事指南</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《国务院关于全面建立临时救助制度的通知》、各地相关政策法规文件</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hAnsi="宋体" w:eastAsia="仿宋_GB2312"/>
                <w:color w:val="000000"/>
                <w:sz w:val="18"/>
                <w:szCs w:val="18"/>
              </w:rPr>
              <w:t>■社区/企事业单位/村公示栏（电子屏）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900" w:type="dxa"/>
            <w:vMerge w:val="restart"/>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eastAsia="zh-CN"/>
              </w:rPr>
              <w:t>计生工作</w:t>
            </w:r>
          </w:p>
          <w:p>
            <w:pPr>
              <w:jc w:val="center"/>
              <w:rPr>
                <w:rFonts w:hint="eastAsia" w:ascii="仿宋_GB2312" w:hAnsi="宋体" w:eastAsia="仿宋_GB2312" w:cs="宋体"/>
                <w:color w:val="000000"/>
                <w:sz w:val="18"/>
                <w:szCs w:val="18"/>
              </w:rPr>
            </w:pPr>
          </w:p>
        </w:tc>
        <w:tc>
          <w:tcPr>
            <w:tcW w:w="108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独生子女费的申请材料和初审</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 w:hAnsi="仿宋" w:eastAsia="仿宋" w:cs="仿宋"/>
                <w:i w:val="0"/>
                <w:iCs w:val="0"/>
                <w:caps w:val="0"/>
                <w:color w:val="333333"/>
                <w:spacing w:val="0"/>
                <w:sz w:val="18"/>
                <w:szCs w:val="18"/>
                <w:shd w:val="clear" w:color="auto" w:fill="FFFFFF"/>
              </w:rPr>
              <w:t>《关于进一步做好计划生育工作的指示》</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Calibri"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特别扶助（计划生育家庭子女死亡和残疾一次性救助金发放的初审）材料收集</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 w:hAnsi="仿宋" w:eastAsia="仿宋" w:cs="仿宋"/>
                <w:i w:val="0"/>
                <w:iCs w:val="0"/>
                <w:caps w:val="0"/>
                <w:color w:val="222222"/>
                <w:spacing w:val="0"/>
                <w:sz w:val="18"/>
                <w:szCs w:val="18"/>
              </w:rPr>
              <w:t>《原国家人口计生委关于完善计划生育家庭特别扶助对象具体确认条件的通知》</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■基层公共服务平台</w:t>
            </w:r>
          </w:p>
        </w:tc>
        <w:tc>
          <w:tcPr>
            <w:tcW w:w="664"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bookmarkStart w:id="1" w:name="_GoBack"/>
            <w:bookmarkEnd w:id="1"/>
            <w:r>
              <w:rPr>
                <w:rFonts w:hint="eastAsia" w:ascii="仿宋_GB2312" w:eastAsia="仿宋_GB2312"/>
                <w:bCs/>
                <w:color w:val="000000"/>
                <w:sz w:val="18"/>
                <w:szCs w:val="18"/>
              </w:rPr>
              <w:t>√</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c>
          <w:tcPr>
            <w:tcW w:w="54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20</w:t>
            </w:r>
          </w:p>
        </w:tc>
        <w:tc>
          <w:tcPr>
            <w:tcW w:w="900" w:type="dxa"/>
            <w:vMerge w:val="restart"/>
            <w:noWrap w:val="0"/>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eastAsia="zh-CN"/>
              </w:rPr>
              <w:t>民政及残联工作</w:t>
            </w:r>
          </w:p>
          <w:p>
            <w:pPr>
              <w:jc w:val="cente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rPr>
              <w:t>红十字会救助申请材料的审核</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lang w:eastAsia="zh-CN"/>
              </w:rPr>
              <w:t>对象范围、申请条件、申请材料、办理流程、办理时限、办理地点、咨询电话</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lang w:eastAsia="zh-CN"/>
              </w:rPr>
              <w:t>《昆都仑区红十字会救助实施细则》</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Calibri"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rPr>
              <w:t>一、二级重度护理补贴审核</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lang w:eastAsia="zh-CN"/>
              </w:rPr>
              <w:t>对象范围、申请条件、申请材料、办理流程、办理时限、办理地点、咨询电话</w:t>
            </w:r>
          </w:p>
        </w:tc>
        <w:tc>
          <w:tcPr>
            <w:tcW w:w="25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lang w:eastAsia="zh-CN"/>
              </w:rPr>
              <w:t>《关于印发困难残疾人生活补贴和重度残疾人护理补贴规范管理操作指引的通知》</w:t>
            </w:r>
          </w:p>
        </w:tc>
        <w:tc>
          <w:tcPr>
            <w:tcW w:w="18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lang w:eastAsia="zh-CN"/>
              </w:rPr>
              <w:t>黄河西路</w:t>
            </w:r>
            <w:r>
              <w:rPr>
                <w:rFonts w:hint="eastAsia" w:ascii="仿宋_GB2312" w:hAnsi="宋体" w:eastAsia="仿宋_GB2312"/>
                <w:color w:val="000000"/>
                <w:sz w:val="18"/>
                <w:szCs w:val="18"/>
              </w:rPr>
              <w:t>街道办事处</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spacing w:line="240" w:lineRule="exact"/>
              <w:jc w:val="left"/>
              <w:rPr>
                <w:rFonts w:hint="eastAsia" w:ascii="仿宋_GB2312" w:eastAsia="仿宋_GB2312"/>
                <w:sz w:val="18"/>
                <w:szCs w:val="18"/>
              </w:rPr>
            </w:pPr>
            <w:r>
              <w:rPr>
                <w:rFonts w:hint="eastAsia" w:ascii="仿宋_GB2312" w:hAnsi="宋体" w:eastAsia="仿宋_GB2312"/>
                <w:color w:val="000000"/>
                <w:sz w:val="18"/>
                <w:szCs w:val="18"/>
              </w:rPr>
              <w:t>■基层公共服务平台</w:t>
            </w:r>
          </w:p>
        </w:tc>
        <w:tc>
          <w:tcPr>
            <w:tcW w:w="664"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c>
          <w:tcPr>
            <w:tcW w:w="72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c>
          <w:tcPr>
            <w:tcW w:w="540" w:type="dxa"/>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vMerge w:val="restart"/>
            <w:noWrap w:val="0"/>
            <w:vAlign w:val="center"/>
          </w:tcPr>
          <w:p>
            <w:pPr>
              <w:jc w:val="cente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p>
        </w:tc>
        <w:tc>
          <w:tcPr>
            <w:tcW w:w="2520" w:type="dxa"/>
            <w:noWrap w:val="0"/>
            <w:vAlign w:val="center"/>
          </w:tcPr>
          <w:p>
            <w:pPr>
              <w:rPr>
                <w:rFonts w:hint="eastAsia" w:ascii="仿宋_GB2312" w:hAnsi="宋体" w:eastAsia="仿宋_GB2312" w:cs="宋体"/>
                <w:bCs/>
                <w:color w:val="000000"/>
                <w:sz w:val="18"/>
                <w:szCs w:val="18"/>
              </w:rPr>
            </w:pPr>
          </w:p>
        </w:tc>
        <w:tc>
          <w:tcPr>
            <w:tcW w:w="2520" w:type="dxa"/>
            <w:noWrap w:val="0"/>
            <w:vAlign w:val="center"/>
          </w:tcPr>
          <w:p>
            <w:pPr>
              <w:rPr>
                <w:rFonts w:hint="eastAsia" w:ascii="仿宋_GB2312" w:hAnsi="宋体" w:eastAsia="仿宋_GB2312" w:cs="宋体"/>
                <w:bCs/>
                <w:color w:val="000000"/>
                <w:sz w:val="18"/>
                <w:szCs w:val="18"/>
              </w:rPr>
            </w:pPr>
          </w:p>
        </w:tc>
        <w:tc>
          <w:tcPr>
            <w:tcW w:w="1800" w:type="dxa"/>
            <w:noWrap w:val="0"/>
            <w:vAlign w:val="center"/>
          </w:tcPr>
          <w:p>
            <w:pPr>
              <w:rPr>
                <w:rFonts w:hint="eastAsia" w:ascii="仿宋_GB2312" w:hAnsi="宋体" w:eastAsia="仿宋_GB2312" w:cs="宋体"/>
                <w:bCs/>
                <w:color w:val="000000"/>
                <w:sz w:val="18"/>
                <w:szCs w:val="18"/>
              </w:rPr>
            </w:pPr>
          </w:p>
        </w:tc>
        <w:tc>
          <w:tcPr>
            <w:tcW w:w="900" w:type="dxa"/>
            <w:noWrap w:val="0"/>
            <w:vAlign w:val="center"/>
          </w:tcPr>
          <w:p>
            <w:pPr>
              <w:rPr>
                <w:rFonts w:hint="eastAsia" w:ascii="仿宋_GB2312" w:hAnsi="宋体" w:eastAsia="仿宋_GB2312" w:cs="宋体"/>
                <w:bCs/>
                <w:sz w:val="18"/>
                <w:szCs w:val="18"/>
              </w:rPr>
            </w:pPr>
          </w:p>
        </w:tc>
        <w:tc>
          <w:tcPr>
            <w:tcW w:w="1496" w:type="dxa"/>
            <w:noWrap w:val="0"/>
            <w:vAlign w:val="center"/>
          </w:tcPr>
          <w:p>
            <w:pPr>
              <w:spacing w:line="240" w:lineRule="exac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color w:val="000000"/>
                <w:sz w:val="18"/>
                <w:szCs w:val="18"/>
              </w:rPr>
            </w:pPr>
          </w:p>
        </w:tc>
        <w:tc>
          <w:tcPr>
            <w:tcW w:w="720"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color w:val="000000"/>
                <w:sz w:val="18"/>
                <w:szCs w:val="18"/>
              </w:rPr>
            </w:pPr>
          </w:p>
        </w:tc>
        <w:tc>
          <w:tcPr>
            <w:tcW w:w="540" w:type="dxa"/>
            <w:noWrap w:val="0"/>
            <w:vAlign w:val="center"/>
          </w:tcPr>
          <w:p>
            <w:pPr>
              <w:rPr>
                <w:rFonts w:hint="eastAsia" w:ascii="仿宋_GB2312" w:hAnsi="宋体" w:eastAsia="仿宋_GB2312" w:cs="宋体"/>
                <w:bCs/>
                <w:sz w:val="18"/>
                <w:szCs w:val="18"/>
              </w:rPr>
            </w:pPr>
          </w:p>
        </w:tc>
        <w:tc>
          <w:tcPr>
            <w:tcW w:w="540" w:type="dxa"/>
            <w:noWrap w:val="0"/>
            <w:vAlign w:val="center"/>
          </w:tcPr>
          <w:p>
            <w:pP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p>
        </w:tc>
        <w:tc>
          <w:tcPr>
            <w:tcW w:w="2520" w:type="dxa"/>
            <w:noWrap w:val="0"/>
            <w:vAlign w:val="center"/>
          </w:tcPr>
          <w:p>
            <w:pPr>
              <w:rPr>
                <w:rFonts w:hint="eastAsia" w:ascii="仿宋_GB2312" w:hAnsi="宋体" w:eastAsia="仿宋_GB2312" w:cs="宋体"/>
                <w:bCs/>
                <w:color w:val="000000"/>
                <w:sz w:val="18"/>
                <w:szCs w:val="18"/>
              </w:rPr>
            </w:pPr>
          </w:p>
        </w:tc>
        <w:tc>
          <w:tcPr>
            <w:tcW w:w="2520" w:type="dxa"/>
            <w:noWrap w:val="0"/>
            <w:vAlign w:val="center"/>
          </w:tcPr>
          <w:p>
            <w:pPr>
              <w:rPr>
                <w:rFonts w:hint="eastAsia" w:ascii="仿宋_GB2312" w:hAnsi="宋体" w:eastAsia="仿宋_GB2312" w:cs="宋体"/>
                <w:bCs/>
                <w:color w:val="000000"/>
                <w:sz w:val="18"/>
                <w:szCs w:val="18"/>
              </w:rPr>
            </w:pPr>
          </w:p>
        </w:tc>
        <w:tc>
          <w:tcPr>
            <w:tcW w:w="1800" w:type="dxa"/>
            <w:noWrap w:val="0"/>
            <w:vAlign w:val="center"/>
          </w:tcPr>
          <w:p>
            <w:pPr>
              <w:rPr>
                <w:rFonts w:hint="eastAsia" w:ascii="仿宋_GB2312" w:hAnsi="宋体" w:eastAsia="仿宋_GB2312" w:cs="宋体"/>
                <w:bCs/>
                <w:sz w:val="18"/>
                <w:szCs w:val="18"/>
              </w:rPr>
            </w:pPr>
          </w:p>
        </w:tc>
        <w:tc>
          <w:tcPr>
            <w:tcW w:w="900" w:type="dxa"/>
            <w:noWrap w:val="0"/>
            <w:vAlign w:val="center"/>
          </w:tcPr>
          <w:p>
            <w:pPr>
              <w:rPr>
                <w:rFonts w:hint="eastAsia" w:ascii="仿宋_GB2312" w:hAnsi="宋体" w:eastAsia="仿宋_GB2312" w:cs="宋体"/>
                <w:bCs/>
                <w:sz w:val="18"/>
                <w:szCs w:val="18"/>
              </w:rPr>
            </w:pPr>
          </w:p>
        </w:tc>
        <w:tc>
          <w:tcPr>
            <w:tcW w:w="1496" w:type="dxa"/>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color w:val="000000"/>
                <w:sz w:val="18"/>
                <w:szCs w:val="18"/>
              </w:rPr>
            </w:pPr>
          </w:p>
        </w:tc>
        <w:tc>
          <w:tcPr>
            <w:tcW w:w="720"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color w:val="000000"/>
                <w:sz w:val="18"/>
                <w:szCs w:val="18"/>
              </w:rPr>
            </w:pPr>
          </w:p>
        </w:tc>
        <w:tc>
          <w:tcPr>
            <w:tcW w:w="540" w:type="dxa"/>
            <w:noWrap w:val="0"/>
            <w:vAlign w:val="center"/>
          </w:tcPr>
          <w:p>
            <w:pPr>
              <w:rPr>
                <w:rFonts w:hint="eastAsia" w:ascii="仿宋_GB2312" w:hAnsi="宋体" w:eastAsia="仿宋_GB2312" w:cs="宋体"/>
                <w:bCs/>
                <w:sz w:val="18"/>
                <w:szCs w:val="18"/>
              </w:rPr>
            </w:pPr>
          </w:p>
        </w:tc>
        <w:tc>
          <w:tcPr>
            <w:tcW w:w="540" w:type="dxa"/>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p>
        </w:tc>
        <w:tc>
          <w:tcPr>
            <w:tcW w:w="2520" w:type="dxa"/>
            <w:noWrap w:val="0"/>
            <w:vAlign w:val="center"/>
          </w:tcPr>
          <w:p>
            <w:pPr>
              <w:rPr>
                <w:rFonts w:hint="eastAsia" w:ascii="仿宋_GB2312" w:hAnsi="宋体" w:eastAsia="仿宋_GB2312" w:cs="宋体"/>
                <w:bCs/>
                <w:color w:val="000000"/>
                <w:sz w:val="18"/>
                <w:szCs w:val="18"/>
              </w:rPr>
            </w:pPr>
          </w:p>
        </w:tc>
        <w:tc>
          <w:tcPr>
            <w:tcW w:w="2520" w:type="dxa"/>
            <w:noWrap w:val="0"/>
            <w:vAlign w:val="center"/>
          </w:tcPr>
          <w:p>
            <w:pPr>
              <w:rPr>
                <w:rFonts w:hint="eastAsia" w:ascii="仿宋_GB2312" w:hAnsi="宋体" w:eastAsia="仿宋_GB2312" w:cs="宋体"/>
                <w:bCs/>
                <w:color w:val="000000"/>
                <w:sz w:val="18"/>
                <w:szCs w:val="18"/>
              </w:rPr>
            </w:pPr>
          </w:p>
        </w:tc>
        <w:tc>
          <w:tcPr>
            <w:tcW w:w="1800" w:type="dxa"/>
            <w:noWrap w:val="0"/>
            <w:vAlign w:val="center"/>
          </w:tcPr>
          <w:p>
            <w:pPr>
              <w:rPr>
                <w:rFonts w:hint="eastAsia" w:ascii="仿宋_GB2312" w:hAnsi="宋体" w:eastAsia="仿宋_GB2312" w:cs="宋体"/>
                <w:bCs/>
                <w:sz w:val="18"/>
                <w:szCs w:val="18"/>
              </w:rPr>
            </w:pPr>
          </w:p>
        </w:tc>
        <w:tc>
          <w:tcPr>
            <w:tcW w:w="900" w:type="dxa"/>
            <w:noWrap w:val="0"/>
            <w:vAlign w:val="center"/>
          </w:tcPr>
          <w:p>
            <w:pPr>
              <w:rPr>
                <w:rFonts w:hint="eastAsia" w:ascii="仿宋_GB2312" w:hAnsi="宋体" w:eastAsia="仿宋_GB2312" w:cs="宋体"/>
                <w:bCs/>
                <w:sz w:val="18"/>
                <w:szCs w:val="18"/>
              </w:rPr>
            </w:pPr>
          </w:p>
        </w:tc>
        <w:tc>
          <w:tcPr>
            <w:tcW w:w="1496" w:type="dxa"/>
            <w:noWrap w:val="0"/>
            <w:vAlign w:val="center"/>
          </w:tcPr>
          <w:p>
            <w:pPr>
              <w:spacing w:line="240" w:lineRule="exact"/>
              <w:jc w:val="left"/>
              <w:rPr>
                <w:rFonts w:hint="eastAsia" w:ascii="仿宋_GB2312" w:hAnsi="宋体" w:eastAsia="仿宋_GB2312" w:cs="宋体"/>
                <w:bCs/>
                <w:sz w:val="18"/>
                <w:szCs w:val="18"/>
              </w:rPr>
            </w:pPr>
          </w:p>
        </w:tc>
        <w:tc>
          <w:tcPr>
            <w:tcW w:w="664"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color w:val="000000"/>
                <w:sz w:val="18"/>
                <w:szCs w:val="18"/>
              </w:rPr>
            </w:pPr>
          </w:p>
        </w:tc>
        <w:tc>
          <w:tcPr>
            <w:tcW w:w="720" w:type="dxa"/>
            <w:noWrap w:val="0"/>
            <w:vAlign w:val="center"/>
          </w:tcPr>
          <w:p>
            <w:pPr>
              <w:rPr>
                <w:rFonts w:hint="eastAsia" w:ascii="仿宋_GB2312" w:hAnsi="宋体" w:eastAsia="仿宋_GB2312" w:cs="宋体"/>
                <w:bCs/>
                <w:sz w:val="18"/>
                <w:szCs w:val="18"/>
              </w:rPr>
            </w:pPr>
          </w:p>
        </w:tc>
        <w:tc>
          <w:tcPr>
            <w:tcW w:w="720" w:type="dxa"/>
            <w:noWrap w:val="0"/>
            <w:vAlign w:val="center"/>
          </w:tcPr>
          <w:p>
            <w:pPr>
              <w:rPr>
                <w:rFonts w:hint="eastAsia" w:ascii="仿宋_GB2312" w:hAnsi="宋体" w:eastAsia="仿宋_GB2312" w:cs="宋体"/>
                <w:bCs/>
                <w:color w:val="000000"/>
                <w:sz w:val="18"/>
                <w:szCs w:val="18"/>
              </w:rPr>
            </w:pPr>
          </w:p>
        </w:tc>
        <w:tc>
          <w:tcPr>
            <w:tcW w:w="540" w:type="dxa"/>
            <w:noWrap w:val="0"/>
            <w:vAlign w:val="center"/>
          </w:tcPr>
          <w:p>
            <w:pPr>
              <w:rPr>
                <w:rFonts w:hint="eastAsia" w:ascii="仿宋_GB2312" w:hAnsi="宋体" w:eastAsia="仿宋_GB2312" w:cs="宋体"/>
                <w:bCs/>
                <w:sz w:val="18"/>
                <w:szCs w:val="18"/>
              </w:rPr>
            </w:pPr>
          </w:p>
        </w:tc>
        <w:tc>
          <w:tcPr>
            <w:tcW w:w="540" w:type="dxa"/>
            <w:noWrap w:val="0"/>
            <w:vAlign w:val="center"/>
          </w:tcPr>
          <w:p>
            <w:pPr>
              <w:rPr>
                <w:rFonts w:hint="eastAsia" w:ascii="仿宋_GB2312" w:hAnsi="宋体" w:eastAsia="仿宋_GB2312" w:cs="宋体"/>
                <w:bCs/>
                <w:color w:val="000000"/>
                <w:sz w:val="18"/>
                <w:szCs w:val="18"/>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3"/>
    <w:rsid w:val="00146120"/>
    <w:rsid w:val="00190068"/>
    <w:rsid w:val="00193DB9"/>
    <w:rsid w:val="001E6D63"/>
    <w:rsid w:val="002967AA"/>
    <w:rsid w:val="002A11C5"/>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56955"/>
    <w:rsid w:val="00C3715A"/>
    <w:rsid w:val="00D31D5E"/>
    <w:rsid w:val="00F07C25"/>
    <w:rsid w:val="00FA002F"/>
    <w:rsid w:val="03E66BA9"/>
    <w:rsid w:val="0A266A92"/>
    <w:rsid w:val="2FA46152"/>
    <w:rsid w:val="3583129A"/>
    <w:rsid w:val="367024E4"/>
    <w:rsid w:val="369F61F9"/>
    <w:rsid w:val="42E667DC"/>
    <w:rsid w:val="4BA44DD1"/>
    <w:rsid w:val="5B4057F6"/>
    <w:rsid w:val="66211270"/>
    <w:rsid w:val="739428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Mongolian Bait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8"/>
    <w:semiHidden/>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21"/>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unhideWhenUsed/>
    <w:qFormat/>
    <w:uiPriority w:val="99"/>
    <w:rPr>
      <w:color w:val="954F72"/>
      <w:u w:val="single"/>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框文本 字符"/>
    <w:basedOn w:val="11"/>
    <w:link w:val="4"/>
    <w:semiHidden/>
    <w:qFormat/>
    <w:uiPriority w:val="0"/>
    <w:rPr>
      <w:rFonts w:ascii="Calibri" w:hAnsi="Calibri" w:eastAsia="宋体" w:cs="Times New Roman"/>
      <w:sz w:val="18"/>
      <w:szCs w:val="18"/>
    </w:rPr>
  </w:style>
  <w:style w:type="character" w:customStyle="1" w:styleId="19">
    <w:name w:val="页脚 字符"/>
    <w:basedOn w:val="11"/>
    <w:link w:val="5"/>
    <w:qFormat/>
    <w:uiPriority w:val="0"/>
    <w:rPr>
      <w:rFonts w:ascii="Calibri" w:hAnsi="Calibri" w:eastAsia="宋体" w:cs="Times New Roman"/>
      <w:sz w:val="18"/>
      <w:szCs w:val="18"/>
    </w:rPr>
  </w:style>
  <w:style w:type="character" w:customStyle="1" w:styleId="20">
    <w:name w:val="页眉 字符"/>
    <w:basedOn w:val="11"/>
    <w:link w:val="6"/>
    <w:qFormat/>
    <w:uiPriority w:val="0"/>
    <w:rPr>
      <w:rFonts w:ascii="Calibri" w:hAnsi="Calibri" w:eastAsia="宋体" w:cs="Times New Roman"/>
      <w:sz w:val="18"/>
      <w:szCs w:val="18"/>
    </w:rPr>
  </w:style>
  <w:style w:type="character" w:customStyle="1" w:styleId="21">
    <w:name w:val="批注主题 字符"/>
    <w:basedOn w:val="17"/>
    <w:link w:val="8"/>
    <w:semiHidden/>
    <w:qFormat/>
    <w:uiPriority w:val="0"/>
    <w:rPr>
      <w:rFonts w:ascii="Calibri" w:hAnsi="Calibri" w:eastAsia="宋体" w:cs="Times New Roman"/>
      <w:b/>
      <w:bCs/>
    </w:rPr>
  </w:style>
  <w:style w:type="paragraph" w:customStyle="1" w:styleId="22">
    <w:name w:val="列出段落"/>
    <w:basedOn w:val="1"/>
    <w:qFormat/>
    <w:uiPriority w:val="0"/>
    <w:pPr>
      <w:ind w:firstLine="420" w:firstLineChars="200"/>
    </w:pPr>
    <w:rPr>
      <w:rFonts w:ascii="等线" w:hAnsi="等线" w:eastAsia="等线"/>
    </w:rPr>
  </w:style>
  <w:style w:type="paragraph" w:customStyle="1" w:styleId="23">
    <w:name w:val="列出段落1"/>
    <w:basedOn w:val="1"/>
    <w:qFormat/>
    <w:uiPriority w:val="0"/>
    <w:pPr>
      <w:ind w:firstLine="420" w:firstLineChars="200"/>
    </w:pPr>
  </w:style>
  <w:style w:type="character" w:customStyle="1" w:styleId="24">
    <w:name w:val="Unresolved Mention"/>
    <w:basedOn w:val="1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633</Words>
  <Characters>3614</Characters>
  <Lines>30</Lines>
  <Paragraphs>8</Paragraphs>
  <TotalTime>0</TotalTime>
  <ScaleCrop>false</ScaleCrop>
  <LinksUpToDate>false</LinksUpToDate>
  <CharactersWithSpaces>4239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2020-03-06T07:48:00Z</dcterms:created>
  <dc:creator>tai yuzhu</dc:creator>
  <cp:lastModifiedBy>Dingeeee _</cp:lastModifiedBy>
  <dcterms:modified xsi:type="dcterms:W3CDTF">2021-11-01T08:30:34Z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CC1E917AA2274393AD92AF72FE975DA8</vt:lpwstr>
  </property>
</Properties>
</file>