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0814">
      <w:pPr>
        <w:pStyle w:val="2"/>
        <w:spacing w:after="0"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包头市昆都仑区市场监督管理局</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行政处罚决定书</w:t>
      </w:r>
    </w:p>
    <w:p w14:paraId="5C3B2632">
      <w:pPr>
        <w:pStyle w:val="2"/>
        <w:spacing w:after="0"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昆市监处罚〔</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p>
    <w:p w14:paraId="3142F5B3">
      <w:pPr>
        <w:pStyle w:val="2"/>
        <w:spacing w:after="0" w:line="560" w:lineRule="exact"/>
        <w:jc w:val="both"/>
        <w:rPr>
          <w:rFonts w:ascii="仿宋_GB2312" w:hAnsi="仿宋_GB2312" w:eastAsia="仿宋_GB2312" w:cs="仿宋_GB2312"/>
          <w:sz w:val="32"/>
          <w:szCs w:val="32"/>
        </w:rPr>
      </w:pPr>
    </w:p>
    <w:p w14:paraId="2D60B604">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当事人： </w:t>
      </w:r>
      <w:r>
        <w:rPr>
          <w:rFonts w:hint="eastAsia" w:ascii="仿宋_GB2312" w:eastAsia="仿宋_GB2312"/>
          <w:sz w:val="32"/>
          <w:szCs w:val="32"/>
          <w:u w:val="none"/>
          <w:lang w:eastAsia="zh-CN"/>
        </w:rPr>
        <w:t>包头市鸿盛贸易有限责任公司</w:t>
      </w:r>
      <w:r>
        <w:rPr>
          <w:rFonts w:hint="eastAsia" w:ascii="仿宋" w:hAnsi="仿宋" w:eastAsia="仿宋" w:cs="仿宋"/>
          <w:sz w:val="32"/>
          <w:szCs w:val="32"/>
          <w:u w:val="none"/>
          <w:lang w:eastAsia="zh-CN"/>
        </w:rPr>
        <w:t>等4</w:t>
      </w:r>
      <w:r>
        <w:rPr>
          <w:rFonts w:hint="eastAsia" w:ascii="仿宋" w:hAnsi="仿宋" w:eastAsia="仿宋" w:cs="仿宋"/>
          <w:sz w:val="32"/>
          <w:szCs w:val="32"/>
          <w:u w:val="none"/>
          <w:lang w:val="en-US" w:eastAsia="zh-CN"/>
        </w:rPr>
        <w:t>14</w:t>
      </w:r>
      <w:r>
        <w:rPr>
          <w:rFonts w:hint="eastAsia" w:ascii="仿宋" w:hAnsi="仿宋" w:eastAsia="仿宋" w:cs="仿宋"/>
          <w:sz w:val="32"/>
          <w:szCs w:val="32"/>
          <w:u w:val="none"/>
          <w:lang w:eastAsia="zh-CN"/>
        </w:rPr>
        <w:t>户</w:t>
      </w:r>
      <w:r>
        <w:rPr>
          <w:rFonts w:hint="eastAsia" w:ascii="仿宋" w:hAnsi="仿宋" w:eastAsia="仿宋" w:cs="仿宋"/>
          <w:sz w:val="32"/>
          <w:szCs w:val="32"/>
          <w:u w:val="none"/>
          <w:lang w:val="en-US" w:eastAsia="zh-CN"/>
        </w:rPr>
        <w:t>企业</w:t>
      </w:r>
      <w:r>
        <w:rPr>
          <w:rFonts w:hint="eastAsia" w:ascii="仿宋" w:hAnsi="仿宋" w:eastAsia="仿宋" w:cs="仿宋"/>
          <w:sz w:val="32"/>
          <w:szCs w:val="32"/>
          <w:u w:val="none"/>
        </w:rPr>
        <w:t xml:space="preserve">（名单附后）                                            </w:t>
      </w:r>
    </w:p>
    <w:p w14:paraId="2A7D7727">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主体资格证照名称： 营业执照                                   </w:t>
      </w:r>
    </w:p>
    <w:p w14:paraId="7EE1F0BE">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统一社会信用代码：                                      </w:t>
      </w:r>
    </w:p>
    <w:p w14:paraId="0623EF94">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住所（住址）：                                          </w:t>
      </w:r>
    </w:p>
    <w:p w14:paraId="14ECBEE2">
      <w:pPr>
        <w:pStyle w:val="2"/>
        <w:spacing w:after="0" w:line="560" w:lineRule="exact"/>
        <w:jc w:val="both"/>
        <w:rPr>
          <w:rFonts w:ascii="仿宋" w:hAnsi="仿宋" w:eastAsia="仿宋" w:cs="仿宋"/>
          <w:sz w:val="32"/>
          <w:szCs w:val="32"/>
          <w:u w:val="none"/>
        </w:rPr>
      </w:pPr>
      <w:r>
        <w:rPr>
          <w:rFonts w:hint="eastAsia" w:ascii="仿宋" w:hAnsi="仿宋" w:eastAsia="仿宋" w:cs="仿宋"/>
          <w:sz w:val="32"/>
          <w:szCs w:val="32"/>
          <w:u w:val="none"/>
        </w:rPr>
        <w:t xml:space="preserve">法定代表人（负责人、经营者）：                          </w:t>
      </w:r>
    </w:p>
    <w:p w14:paraId="3A5D7507">
      <w:pPr>
        <w:pStyle w:val="2"/>
        <w:spacing w:after="0" w:line="560" w:lineRule="exact"/>
        <w:jc w:val="both"/>
        <w:rPr>
          <w:rFonts w:ascii="仿宋" w:hAnsi="仿宋" w:eastAsia="仿宋" w:cs="仿宋"/>
          <w:color w:val="FF0000"/>
          <w:sz w:val="32"/>
          <w:szCs w:val="32"/>
          <w:u w:val="none"/>
        </w:rPr>
      </w:pPr>
      <w:r>
        <w:rPr>
          <w:rFonts w:hint="eastAsia" w:ascii="仿宋" w:hAnsi="仿宋" w:eastAsia="仿宋" w:cs="仿宋"/>
          <w:sz w:val="32"/>
          <w:szCs w:val="32"/>
          <w:u w:val="none"/>
        </w:rPr>
        <w:t xml:space="preserve">身份证件号码：                                          </w:t>
      </w:r>
    </w:p>
    <w:p w14:paraId="5CBCC223">
      <w:pPr>
        <w:pStyle w:val="2"/>
        <w:spacing w:after="0" w:line="560" w:lineRule="exact"/>
        <w:ind w:firstLine="640" w:firstLineChars="200"/>
        <w:jc w:val="both"/>
        <w:rPr>
          <w:rFonts w:hint="eastAsia" w:ascii="仿宋" w:hAnsi="仿宋" w:eastAsia="仿宋" w:cs="Arial"/>
          <w:color w:val="222222"/>
          <w:sz w:val="32"/>
          <w:szCs w:val="32"/>
          <w:u w:val="none"/>
          <w:lang w:val="en-US" w:eastAsia="zh-CN"/>
        </w:rPr>
      </w:pPr>
      <w:r>
        <w:rPr>
          <w:rFonts w:hint="eastAsia" w:ascii="仿宋" w:hAnsi="仿宋" w:eastAsia="仿宋" w:cs="Arial"/>
          <w:color w:val="222222"/>
          <w:sz w:val="32"/>
          <w:szCs w:val="32"/>
          <w:u w:val="none"/>
        </w:rPr>
        <w:t xml:space="preserve"> </w:t>
      </w:r>
      <w:r>
        <w:rPr>
          <w:rFonts w:hint="eastAsia" w:ascii="仿宋" w:hAnsi="仿宋" w:eastAsia="仿宋" w:cs="Arial"/>
          <w:color w:val="222222"/>
          <w:sz w:val="32"/>
          <w:szCs w:val="32"/>
          <w:u w:val="none"/>
          <w:lang w:val="en-US" w:eastAsia="zh-CN"/>
        </w:rPr>
        <w:t>2026</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val="en-US" w:eastAsia="zh-CN"/>
        </w:rPr>
        <w:t>3</w:t>
      </w:r>
      <w:r>
        <w:rPr>
          <w:rFonts w:hint="eastAsia" w:ascii="仿宋" w:hAnsi="仿宋" w:eastAsia="仿宋" w:cs="Arial"/>
          <w:color w:val="222222"/>
          <w:sz w:val="32"/>
          <w:szCs w:val="32"/>
          <w:u w:val="none"/>
        </w:rPr>
        <w:t>月</w:t>
      </w:r>
      <w:r>
        <w:rPr>
          <w:rFonts w:hint="eastAsia" w:ascii="仿宋" w:hAnsi="仿宋" w:eastAsia="仿宋" w:cs="Arial"/>
          <w:color w:val="222222"/>
          <w:sz w:val="32"/>
          <w:szCs w:val="32"/>
          <w:u w:val="none"/>
          <w:lang w:val="en-US" w:eastAsia="zh-CN"/>
        </w:rPr>
        <w:t>9</w:t>
      </w:r>
      <w:r>
        <w:rPr>
          <w:rFonts w:hint="eastAsia" w:ascii="仿宋" w:hAnsi="仿宋" w:eastAsia="仿宋" w:cs="Arial"/>
          <w:color w:val="222222"/>
          <w:sz w:val="32"/>
          <w:szCs w:val="32"/>
          <w:u w:val="none"/>
        </w:rPr>
        <w:t>日,按照《包头市市场监督管理局</w:t>
      </w:r>
      <w:r>
        <w:rPr>
          <w:rFonts w:hint="eastAsia" w:ascii="仿宋" w:hAnsi="仿宋" w:eastAsia="仿宋" w:cs="Arial"/>
          <w:color w:val="222222"/>
          <w:sz w:val="32"/>
          <w:szCs w:val="32"/>
          <w:u w:val="none"/>
          <w:lang w:eastAsia="zh-CN"/>
        </w:rPr>
        <w:t>关于</w:t>
      </w:r>
      <w:r>
        <w:rPr>
          <w:rFonts w:hint="eastAsia" w:ascii="仿宋" w:hAnsi="仿宋" w:eastAsia="仿宋" w:cs="Arial"/>
          <w:color w:val="222222"/>
          <w:sz w:val="32"/>
          <w:szCs w:val="32"/>
          <w:u w:val="none"/>
          <w:lang w:val="en-US" w:eastAsia="zh-CN"/>
        </w:rPr>
        <w:t>落实推动长期未经营或停止经营企业和个体工商户市场退出工作分工的</w:t>
      </w:r>
      <w:r>
        <w:rPr>
          <w:rFonts w:hint="eastAsia" w:ascii="仿宋" w:hAnsi="仿宋" w:eastAsia="仿宋" w:cs="Arial"/>
          <w:color w:val="222222"/>
          <w:sz w:val="32"/>
          <w:szCs w:val="32"/>
          <w:u w:val="none"/>
        </w:rPr>
        <w:t>通知》要求，我局对20</w:t>
      </w:r>
      <w:r>
        <w:rPr>
          <w:rFonts w:hint="eastAsia" w:ascii="仿宋" w:hAnsi="仿宋" w:eastAsia="仿宋" w:cs="Arial"/>
          <w:color w:val="222222"/>
          <w:sz w:val="32"/>
          <w:szCs w:val="32"/>
          <w:u w:val="none"/>
          <w:lang w:val="en-US" w:eastAsia="zh-CN"/>
        </w:rPr>
        <w:t>23</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eastAsia="zh-CN"/>
        </w:rPr>
        <w:t>度</w:t>
      </w:r>
      <w:r>
        <w:rPr>
          <w:rFonts w:hint="eastAsia" w:ascii="仿宋" w:hAnsi="仿宋" w:eastAsia="仿宋" w:cs="Arial"/>
          <w:color w:val="222222"/>
          <w:sz w:val="32"/>
          <w:szCs w:val="32"/>
          <w:u w:val="none"/>
        </w:rPr>
        <w:t>、202</w:t>
      </w:r>
      <w:r>
        <w:rPr>
          <w:rFonts w:hint="eastAsia" w:ascii="仿宋" w:hAnsi="仿宋" w:eastAsia="仿宋" w:cs="Arial"/>
          <w:color w:val="222222"/>
          <w:sz w:val="32"/>
          <w:szCs w:val="32"/>
          <w:u w:val="none"/>
          <w:lang w:val="en-US" w:eastAsia="zh-CN"/>
        </w:rPr>
        <w:t>4</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eastAsia="zh-CN"/>
        </w:rPr>
        <w:t>度</w:t>
      </w:r>
      <w:r>
        <w:rPr>
          <w:rFonts w:hint="eastAsia" w:ascii="仿宋" w:hAnsi="仿宋" w:eastAsia="仿宋" w:cs="Arial"/>
          <w:color w:val="222222"/>
          <w:sz w:val="32"/>
          <w:szCs w:val="32"/>
          <w:u w:val="none"/>
        </w:rPr>
        <w:t>被我局列入经营异常名录的</w:t>
      </w:r>
      <w:r>
        <w:rPr>
          <w:rFonts w:hint="eastAsia" w:ascii="仿宋" w:hAnsi="仿宋" w:eastAsia="仿宋" w:cs="Arial"/>
          <w:color w:val="222222"/>
          <w:sz w:val="32"/>
          <w:szCs w:val="32"/>
          <w:u w:val="none"/>
          <w:lang w:val="en-US" w:eastAsia="zh-CN"/>
        </w:rPr>
        <w:t>市场主体</w:t>
      </w:r>
      <w:r>
        <w:rPr>
          <w:rFonts w:hint="eastAsia" w:ascii="仿宋" w:hAnsi="仿宋" w:eastAsia="仿宋" w:cs="Arial"/>
          <w:color w:val="222222"/>
          <w:sz w:val="32"/>
          <w:szCs w:val="32"/>
          <w:u w:val="none"/>
        </w:rPr>
        <w:t>进行清理，发现</w:t>
      </w:r>
      <w:r>
        <w:rPr>
          <w:rFonts w:hint="eastAsia" w:ascii="仿宋" w:hAnsi="仿宋" w:eastAsia="仿宋" w:cs="Arial"/>
          <w:color w:val="222222"/>
          <w:sz w:val="32"/>
          <w:szCs w:val="32"/>
          <w:u w:val="none"/>
          <w:lang w:eastAsia="zh-CN"/>
        </w:rPr>
        <w:t>昆区辖区内包头市鸿盛贸易有限责任公司等</w:t>
      </w:r>
      <w:r>
        <w:rPr>
          <w:rFonts w:hint="eastAsia" w:ascii="仿宋" w:hAnsi="仿宋" w:eastAsia="仿宋" w:cs="Arial"/>
          <w:color w:val="222222"/>
          <w:sz w:val="32"/>
          <w:szCs w:val="32"/>
          <w:u w:val="none"/>
          <w:lang w:val="en-US" w:eastAsia="zh-CN"/>
        </w:rPr>
        <w:t>465户公司</w:t>
      </w:r>
      <w:r>
        <w:rPr>
          <w:rFonts w:hint="eastAsia" w:ascii="仿宋" w:hAnsi="仿宋" w:eastAsia="仿宋" w:cs="Arial"/>
          <w:color w:val="222222"/>
          <w:sz w:val="32"/>
          <w:szCs w:val="32"/>
          <w:u w:val="none"/>
        </w:rPr>
        <w:t>涉嫌连续2年未按规定报送年度报告被列入经营异常名录未改正，且通过登记的住所无法取得联系，</w:t>
      </w:r>
      <w:r>
        <w:rPr>
          <w:rFonts w:hint="eastAsia" w:ascii="仿宋" w:hAnsi="仿宋" w:eastAsia="仿宋" w:cs="Arial"/>
          <w:color w:val="222222"/>
          <w:sz w:val="32"/>
          <w:szCs w:val="32"/>
          <w:u w:val="none"/>
          <w:lang w:eastAsia="zh-CN"/>
        </w:rPr>
        <w:t>执法人员围绕当事人涉嫌上述违法行为收集证据材料，确定其违法事实。</w:t>
      </w:r>
      <w:r>
        <w:rPr>
          <w:rFonts w:hint="eastAsia" w:ascii="仿宋" w:hAnsi="仿宋" w:eastAsia="仿宋" w:cs="Arial"/>
          <w:color w:val="222222"/>
          <w:sz w:val="32"/>
          <w:szCs w:val="32"/>
          <w:u w:val="none"/>
        </w:rPr>
        <w:t>202</w:t>
      </w:r>
      <w:r>
        <w:rPr>
          <w:rFonts w:hint="eastAsia" w:ascii="仿宋" w:hAnsi="仿宋" w:eastAsia="仿宋" w:cs="Arial"/>
          <w:color w:val="222222"/>
          <w:sz w:val="32"/>
          <w:szCs w:val="32"/>
          <w:u w:val="none"/>
          <w:lang w:val="en-US" w:eastAsia="zh-CN"/>
        </w:rPr>
        <w:t>6</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val="en-US" w:eastAsia="zh-CN"/>
        </w:rPr>
        <w:t>4</w:t>
      </w:r>
      <w:r>
        <w:rPr>
          <w:rFonts w:hint="eastAsia" w:ascii="仿宋" w:hAnsi="仿宋" w:eastAsia="仿宋" w:cs="Arial"/>
          <w:color w:val="222222"/>
          <w:sz w:val="32"/>
          <w:szCs w:val="32"/>
          <w:u w:val="none"/>
        </w:rPr>
        <w:t>月</w:t>
      </w:r>
      <w:r>
        <w:rPr>
          <w:rFonts w:hint="eastAsia" w:ascii="仿宋" w:hAnsi="仿宋" w:eastAsia="仿宋" w:cs="Arial"/>
          <w:color w:val="222222"/>
          <w:sz w:val="32"/>
          <w:szCs w:val="32"/>
          <w:u w:val="none"/>
          <w:lang w:val="en-US" w:eastAsia="zh-CN"/>
        </w:rPr>
        <w:t>9</w:t>
      </w:r>
      <w:r>
        <w:rPr>
          <w:rFonts w:hint="eastAsia" w:ascii="仿宋" w:hAnsi="仿宋" w:eastAsia="仿宋" w:cs="Arial"/>
          <w:color w:val="222222"/>
          <w:sz w:val="32"/>
          <w:szCs w:val="32"/>
          <w:u w:val="none"/>
        </w:rPr>
        <w:t>日</w:t>
      </w:r>
      <w:r>
        <w:rPr>
          <w:rFonts w:hint="eastAsia" w:ascii="仿宋" w:hAnsi="仿宋" w:eastAsia="仿宋" w:cs="Arial"/>
          <w:color w:val="222222"/>
          <w:sz w:val="32"/>
          <w:szCs w:val="32"/>
          <w:u w:val="none"/>
          <w:lang w:eastAsia="zh-CN"/>
        </w:rPr>
        <w:t>案件调查终结</w:t>
      </w:r>
      <w:r>
        <w:rPr>
          <w:rFonts w:hint="eastAsia" w:ascii="仿宋" w:hAnsi="仿宋" w:eastAsia="仿宋" w:cs="Arial"/>
          <w:color w:val="222222"/>
          <w:sz w:val="32"/>
          <w:szCs w:val="32"/>
          <w:u w:val="none"/>
        </w:rPr>
        <w:t>。</w:t>
      </w:r>
    </w:p>
    <w:p w14:paraId="437CC532">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lang w:eastAsia="zh-CN"/>
        </w:rPr>
        <w:t>包头市鸿盛贸易有限责任公司等4</w:t>
      </w:r>
      <w:r>
        <w:rPr>
          <w:rFonts w:hint="eastAsia" w:ascii="仿宋" w:hAnsi="仿宋" w:eastAsia="仿宋" w:cs="Arial"/>
          <w:color w:val="222222"/>
          <w:sz w:val="32"/>
          <w:szCs w:val="32"/>
          <w:u w:val="none"/>
          <w:lang w:val="en-US" w:eastAsia="zh-CN"/>
        </w:rPr>
        <w:t>65</w:t>
      </w:r>
      <w:r>
        <w:rPr>
          <w:rFonts w:hint="eastAsia" w:ascii="仿宋" w:hAnsi="仿宋" w:eastAsia="仿宋" w:cs="Arial"/>
          <w:color w:val="222222"/>
          <w:sz w:val="32"/>
          <w:szCs w:val="32"/>
          <w:u w:val="none"/>
          <w:lang w:eastAsia="zh-CN"/>
        </w:rPr>
        <w:t>户</w:t>
      </w:r>
      <w:r>
        <w:rPr>
          <w:rFonts w:hint="eastAsia" w:ascii="仿宋" w:hAnsi="仿宋" w:eastAsia="仿宋" w:cs="Arial"/>
          <w:color w:val="222222"/>
          <w:sz w:val="32"/>
          <w:szCs w:val="32"/>
          <w:u w:val="none"/>
          <w:lang w:val="en-US" w:eastAsia="zh-CN"/>
        </w:rPr>
        <w:t>企业</w:t>
      </w:r>
      <w:r>
        <w:rPr>
          <w:rFonts w:hint="eastAsia" w:ascii="仿宋" w:hAnsi="仿宋" w:eastAsia="仿宋" w:cs="Arial"/>
          <w:color w:val="222222"/>
          <w:sz w:val="32"/>
          <w:szCs w:val="32"/>
          <w:u w:val="none"/>
        </w:rPr>
        <w:t>于20</w:t>
      </w:r>
      <w:r>
        <w:rPr>
          <w:rFonts w:hint="eastAsia" w:ascii="仿宋" w:hAnsi="仿宋" w:eastAsia="仿宋" w:cs="Arial"/>
          <w:color w:val="222222"/>
          <w:sz w:val="32"/>
          <w:szCs w:val="32"/>
          <w:u w:val="none"/>
          <w:lang w:val="en-US" w:eastAsia="zh-CN"/>
        </w:rPr>
        <w:t>23</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eastAsia="zh-CN"/>
        </w:rPr>
        <w:t>度</w:t>
      </w:r>
      <w:r>
        <w:rPr>
          <w:rFonts w:hint="eastAsia" w:ascii="仿宋" w:hAnsi="仿宋" w:eastAsia="仿宋" w:cs="Arial"/>
          <w:color w:val="222222"/>
          <w:sz w:val="32"/>
          <w:szCs w:val="32"/>
          <w:u w:val="none"/>
        </w:rPr>
        <w:t>、20</w:t>
      </w:r>
      <w:r>
        <w:rPr>
          <w:rFonts w:hint="eastAsia" w:ascii="仿宋" w:hAnsi="仿宋" w:eastAsia="仿宋" w:cs="Arial"/>
          <w:color w:val="222222"/>
          <w:sz w:val="32"/>
          <w:szCs w:val="32"/>
          <w:u w:val="none"/>
          <w:lang w:val="en-US" w:eastAsia="zh-CN"/>
        </w:rPr>
        <w:t>24</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eastAsia="zh-CN"/>
        </w:rPr>
        <w:t>度</w:t>
      </w:r>
      <w:r>
        <w:rPr>
          <w:rFonts w:hint="eastAsia" w:ascii="仿宋" w:hAnsi="仿宋" w:eastAsia="仿宋" w:cs="Arial"/>
          <w:color w:val="222222"/>
          <w:sz w:val="32"/>
          <w:szCs w:val="32"/>
          <w:u w:val="none"/>
          <w:lang w:val="en-US" w:eastAsia="zh-CN"/>
        </w:rPr>
        <w:t>连续两年</w:t>
      </w:r>
      <w:r>
        <w:rPr>
          <w:rFonts w:hint="eastAsia" w:ascii="仿宋" w:hAnsi="仿宋" w:eastAsia="仿宋" w:cs="Arial"/>
          <w:color w:val="222222"/>
          <w:sz w:val="32"/>
          <w:szCs w:val="32"/>
          <w:u w:val="none"/>
        </w:rPr>
        <w:t>被列入经营异常名录，我局执法人员于202</w:t>
      </w:r>
      <w:r>
        <w:rPr>
          <w:rFonts w:hint="eastAsia" w:ascii="仿宋" w:hAnsi="仿宋" w:eastAsia="仿宋" w:cs="Arial"/>
          <w:color w:val="222222"/>
          <w:sz w:val="32"/>
          <w:szCs w:val="32"/>
          <w:u w:val="none"/>
          <w:lang w:val="en-US" w:eastAsia="zh-CN"/>
        </w:rPr>
        <w:t>5</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val="en-US" w:eastAsia="zh-CN"/>
        </w:rPr>
        <w:t>3</w:t>
      </w:r>
      <w:r>
        <w:rPr>
          <w:rFonts w:hint="eastAsia" w:ascii="仿宋" w:hAnsi="仿宋" w:eastAsia="仿宋" w:cs="Arial"/>
          <w:color w:val="222222"/>
          <w:sz w:val="32"/>
          <w:szCs w:val="32"/>
          <w:u w:val="none"/>
        </w:rPr>
        <w:t>月电话联系当事人未果，</w:t>
      </w:r>
      <w:r>
        <w:rPr>
          <w:rFonts w:hint="eastAsia" w:ascii="仿宋" w:hAnsi="仿宋" w:eastAsia="仿宋" w:cs="Arial"/>
          <w:color w:val="222222"/>
          <w:sz w:val="32"/>
          <w:szCs w:val="32"/>
          <w:u w:val="none"/>
          <w:lang w:val="en-US" w:eastAsia="zh-CN"/>
        </w:rPr>
        <w:t>经实地核查，通过当事人登记注册的住所（经营场所）无法取得联系</w:t>
      </w:r>
      <w:r>
        <w:rPr>
          <w:rFonts w:hint="eastAsia" w:ascii="仿宋" w:hAnsi="仿宋" w:eastAsia="仿宋" w:cs="Arial"/>
          <w:color w:val="222222"/>
          <w:sz w:val="32"/>
          <w:szCs w:val="32"/>
          <w:u w:val="none"/>
        </w:rPr>
        <w:t>。期间，我局向当事人所在辖区税务部门发出协助调查函</w:t>
      </w:r>
      <w:r>
        <w:rPr>
          <w:rFonts w:hint="eastAsia" w:ascii="仿宋" w:hAnsi="仿宋" w:eastAsia="仿宋" w:cs="Arial"/>
          <w:color w:val="222222"/>
          <w:sz w:val="32"/>
          <w:szCs w:val="32"/>
          <w:u w:val="none"/>
          <w:lang w:eastAsia="zh-CN"/>
        </w:rPr>
        <w:t>，</w:t>
      </w:r>
      <w:r>
        <w:rPr>
          <w:rFonts w:hint="eastAsia" w:ascii="仿宋" w:hAnsi="仿宋" w:eastAsia="仿宋" w:cs="Arial"/>
          <w:color w:val="222222"/>
          <w:sz w:val="32"/>
          <w:szCs w:val="32"/>
          <w:u w:val="none"/>
          <w:lang w:val="en-US" w:eastAsia="zh-CN"/>
        </w:rPr>
        <w:t>了解相关情况</w:t>
      </w:r>
      <w:r>
        <w:rPr>
          <w:rFonts w:hint="eastAsia" w:ascii="仿宋" w:hAnsi="仿宋" w:eastAsia="仿宋" w:cs="Arial"/>
          <w:color w:val="222222"/>
          <w:sz w:val="32"/>
          <w:szCs w:val="32"/>
          <w:u w:val="none"/>
        </w:rPr>
        <w:t>。</w:t>
      </w:r>
      <w:r>
        <w:rPr>
          <w:rFonts w:hint="eastAsia" w:ascii="仿宋" w:hAnsi="仿宋" w:eastAsia="仿宋" w:cs="Arial"/>
          <w:color w:val="222222"/>
          <w:sz w:val="32"/>
          <w:szCs w:val="32"/>
          <w:u w:val="none"/>
          <w:lang w:val="en-US" w:eastAsia="zh-CN"/>
        </w:rPr>
        <w:t>经查明，465户公司中50户公司属于正常经营状态，1户公司按照《企业经营异常名录管理办法》第十一条规定，补报并公示了2023年度、2024年度的企业年度报告后，并提出申请移出异常名录，我局在收到申请后依法作出了移出异常名录决定；剩余包头市鸿盛贸易有限责任等414户公司于2023年度、2024年度未依法进行年报，被列入企业经营异常名录后仍未改正，且通过其登记注册的住所无法取得联系。</w:t>
      </w:r>
    </w:p>
    <w:p w14:paraId="0743A8B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Arial"/>
          <w:color w:val="222222"/>
          <w:sz w:val="32"/>
          <w:szCs w:val="32"/>
          <w:u w:val="none"/>
          <w:lang w:val="en-US" w:eastAsia="zh-CN"/>
        </w:rPr>
      </w:pPr>
      <w:r>
        <w:rPr>
          <w:rFonts w:hint="eastAsia" w:ascii="仿宋" w:hAnsi="仿宋" w:eastAsia="仿宋" w:cs="Arial"/>
          <w:color w:val="222222"/>
          <w:sz w:val="32"/>
          <w:szCs w:val="32"/>
          <w:u w:val="none"/>
          <w:lang w:val="en-US" w:eastAsia="zh-CN"/>
        </w:rPr>
        <w:t xml:space="preserve">  </w:t>
      </w:r>
      <w:r>
        <w:rPr>
          <w:rFonts w:hint="eastAsia" w:ascii="仿宋" w:hAnsi="仿宋" w:eastAsia="仿宋" w:cs="Arial"/>
          <w:color w:val="222222"/>
          <w:sz w:val="32"/>
          <w:szCs w:val="32"/>
          <w:u w:val="none"/>
        </w:rPr>
        <w:t>我</w:t>
      </w:r>
      <w:r>
        <w:rPr>
          <w:rFonts w:hint="eastAsia" w:ascii="仿宋" w:hAnsi="仿宋" w:eastAsia="仿宋" w:cs="Arial"/>
          <w:color w:val="222222"/>
          <w:sz w:val="32"/>
          <w:szCs w:val="32"/>
          <w:u w:val="none"/>
          <w:lang w:val="en-US" w:eastAsia="zh-CN"/>
        </w:rPr>
        <w:t>局于2025年4月9日向当事人公告送达了行政处罚告知书，包头市鸿盛贸易有限责任等414户公司当事人未提出陈诉申辩，未提出听证申请。</w:t>
      </w:r>
    </w:p>
    <w:p w14:paraId="7DC42685">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上述事实，主要有以下证据证明：</w:t>
      </w:r>
    </w:p>
    <w:p w14:paraId="79814BA9">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1.现场检查记录表</w:t>
      </w:r>
      <w:r>
        <w:rPr>
          <w:rFonts w:hint="eastAsia" w:ascii="仿宋" w:hAnsi="仿宋" w:eastAsia="仿宋" w:cs="Arial"/>
          <w:color w:val="222222"/>
          <w:sz w:val="32"/>
          <w:szCs w:val="32"/>
          <w:u w:val="none"/>
          <w:lang w:val="en-US" w:eastAsia="zh-CN"/>
        </w:rPr>
        <w:t>414</w:t>
      </w:r>
      <w:r>
        <w:rPr>
          <w:rFonts w:hint="eastAsia" w:ascii="仿宋" w:hAnsi="仿宋" w:eastAsia="仿宋" w:cs="Arial"/>
          <w:color w:val="222222"/>
          <w:sz w:val="32"/>
          <w:szCs w:val="32"/>
          <w:u w:val="none"/>
        </w:rPr>
        <w:t>份，证明登记的住所未发现该市场主体存在</w:t>
      </w:r>
      <w:r>
        <w:rPr>
          <w:rFonts w:hint="eastAsia" w:ascii="仿宋" w:hAnsi="仿宋" w:eastAsia="仿宋" w:cs="Arial"/>
          <w:color w:val="222222"/>
          <w:sz w:val="32"/>
          <w:szCs w:val="32"/>
          <w:u w:val="none"/>
          <w:lang w:eastAsia="zh-CN"/>
        </w:rPr>
        <w:t>。</w:t>
      </w:r>
    </w:p>
    <w:p w14:paraId="07DDF0BB">
      <w:pPr>
        <w:pStyle w:val="2"/>
        <w:spacing w:after="0" w:line="560" w:lineRule="exact"/>
        <w:ind w:firstLine="640" w:firstLineChars="200"/>
        <w:jc w:val="both"/>
        <w:rPr>
          <w:rFonts w:hint="eastAsia" w:ascii="仿宋" w:hAnsi="仿宋" w:eastAsia="仿宋" w:cs="Arial"/>
          <w:color w:val="222222"/>
          <w:sz w:val="32"/>
          <w:szCs w:val="32"/>
          <w:u w:val="none"/>
          <w:lang w:eastAsia="zh-CN"/>
        </w:rPr>
      </w:pPr>
      <w:r>
        <w:rPr>
          <w:rFonts w:hint="eastAsia" w:ascii="仿宋" w:hAnsi="仿宋" w:eastAsia="仿宋" w:cs="Arial"/>
          <w:color w:val="222222"/>
          <w:sz w:val="32"/>
          <w:szCs w:val="32"/>
          <w:u w:val="none"/>
        </w:rPr>
        <w:t>2.202</w:t>
      </w:r>
      <w:r>
        <w:rPr>
          <w:rFonts w:hint="eastAsia" w:ascii="仿宋" w:hAnsi="仿宋" w:eastAsia="仿宋" w:cs="Arial"/>
          <w:color w:val="222222"/>
          <w:sz w:val="32"/>
          <w:szCs w:val="32"/>
          <w:u w:val="none"/>
          <w:lang w:val="en-US" w:eastAsia="zh-CN"/>
        </w:rPr>
        <w:t>6</w:t>
      </w:r>
      <w:r>
        <w:rPr>
          <w:rFonts w:hint="eastAsia" w:ascii="仿宋" w:hAnsi="仿宋" w:eastAsia="仿宋" w:cs="Arial"/>
          <w:color w:val="222222"/>
          <w:sz w:val="32"/>
          <w:szCs w:val="32"/>
          <w:u w:val="none"/>
        </w:rPr>
        <w:t>年</w:t>
      </w:r>
      <w:r>
        <w:rPr>
          <w:rFonts w:hint="eastAsia" w:ascii="仿宋" w:hAnsi="仿宋" w:eastAsia="仿宋" w:cs="Arial"/>
          <w:color w:val="222222"/>
          <w:sz w:val="32"/>
          <w:szCs w:val="32"/>
          <w:u w:val="none"/>
          <w:lang w:val="en-US" w:eastAsia="zh-CN"/>
        </w:rPr>
        <w:t>3</w:t>
      </w:r>
      <w:r>
        <w:rPr>
          <w:rFonts w:hint="eastAsia" w:ascii="仿宋" w:hAnsi="仿宋" w:eastAsia="仿宋" w:cs="Arial"/>
          <w:color w:val="222222"/>
          <w:sz w:val="32"/>
          <w:szCs w:val="32"/>
          <w:u w:val="none"/>
        </w:rPr>
        <w:t>月</w:t>
      </w:r>
      <w:r>
        <w:rPr>
          <w:rFonts w:hint="eastAsia" w:ascii="仿宋" w:hAnsi="仿宋" w:eastAsia="仿宋" w:cs="Arial"/>
          <w:color w:val="222222"/>
          <w:sz w:val="32"/>
          <w:szCs w:val="32"/>
          <w:u w:val="none"/>
          <w:lang w:val="en-US" w:eastAsia="zh-CN"/>
        </w:rPr>
        <w:t>9</w:t>
      </w:r>
      <w:r>
        <w:rPr>
          <w:rFonts w:hint="eastAsia" w:ascii="仿宋" w:hAnsi="仿宋" w:eastAsia="仿宋" w:cs="Arial"/>
          <w:color w:val="222222"/>
          <w:sz w:val="32"/>
          <w:szCs w:val="32"/>
          <w:u w:val="none"/>
        </w:rPr>
        <w:t>日，向当事人所在辖区税务部门调取纳税情况，税务部门出具证明，证明当事人未</w:t>
      </w:r>
      <w:r>
        <w:rPr>
          <w:rFonts w:hint="eastAsia" w:ascii="仿宋" w:hAnsi="仿宋" w:eastAsia="仿宋" w:cs="Arial"/>
          <w:color w:val="222222"/>
          <w:sz w:val="32"/>
          <w:szCs w:val="32"/>
          <w:u w:val="none"/>
          <w:lang w:val="en-US" w:eastAsia="zh-CN"/>
        </w:rPr>
        <w:t>正常</w:t>
      </w:r>
      <w:r>
        <w:rPr>
          <w:rFonts w:hint="eastAsia" w:ascii="仿宋" w:hAnsi="仿宋" w:eastAsia="仿宋" w:cs="Arial"/>
          <w:color w:val="222222"/>
          <w:sz w:val="32"/>
          <w:szCs w:val="32"/>
          <w:u w:val="none"/>
        </w:rPr>
        <w:t xml:space="preserve">申报纳税信息 </w:t>
      </w:r>
      <w:r>
        <w:rPr>
          <w:rFonts w:hint="eastAsia" w:ascii="仿宋" w:hAnsi="仿宋" w:eastAsia="仿宋" w:cs="Arial"/>
          <w:color w:val="222222"/>
          <w:sz w:val="32"/>
          <w:szCs w:val="32"/>
          <w:u w:val="none"/>
          <w:lang w:eastAsia="zh-CN"/>
        </w:rPr>
        <w:t>。</w:t>
      </w:r>
    </w:p>
    <w:p w14:paraId="5AE8298B">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lang w:val="en-US" w:eastAsia="zh-CN"/>
        </w:rPr>
        <w:t>3.公司基本资料信息一份，证明该当事人未年报被列入经营异常名录。</w:t>
      </w:r>
      <w:r>
        <w:rPr>
          <w:rFonts w:hint="eastAsia" w:ascii="仿宋" w:hAnsi="仿宋" w:eastAsia="仿宋" w:cs="Arial"/>
          <w:color w:val="222222"/>
          <w:sz w:val="32"/>
          <w:szCs w:val="32"/>
          <w:u w:val="none"/>
        </w:rPr>
        <w:t xml:space="preserve">  </w:t>
      </w:r>
    </w:p>
    <w:p w14:paraId="021CE53C">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综上，</w:t>
      </w:r>
      <w:r>
        <w:rPr>
          <w:rFonts w:hint="eastAsia" w:ascii="仿宋" w:hAnsi="仿宋" w:eastAsia="仿宋" w:cs="Arial"/>
          <w:color w:val="222222"/>
          <w:sz w:val="32"/>
          <w:szCs w:val="32"/>
          <w:u w:val="none"/>
          <w:lang w:val="en-US" w:eastAsia="zh-CN"/>
        </w:rPr>
        <w:t>上述当事人</w:t>
      </w:r>
      <w:r>
        <w:rPr>
          <w:rFonts w:hint="eastAsia" w:ascii="仿宋" w:hAnsi="仿宋" w:eastAsia="仿宋" w:cs="Arial"/>
          <w:color w:val="222222"/>
          <w:sz w:val="32"/>
          <w:szCs w:val="32"/>
          <w:u w:val="none"/>
        </w:rPr>
        <w:t>违反了《企业信息公示暂行条例》第八条第一款</w:t>
      </w:r>
      <w:r>
        <w:rPr>
          <w:rFonts w:hint="eastAsia" w:ascii="仿宋" w:hAnsi="仿宋" w:eastAsia="仿宋" w:cs="Arial"/>
          <w:color w:val="222222"/>
          <w:sz w:val="32"/>
          <w:szCs w:val="32"/>
          <w:u w:val="none"/>
          <w:lang w:eastAsia="zh-CN"/>
        </w:rPr>
        <w:t>“</w:t>
      </w:r>
      <w:r>
        <w:rPr>
          <w:rFonts w:hint="default" w:ascii="仿宋" w:hAnsi="仿宋" w:eastAsia="仿宋" w:cs="Arial"/>
          <w:color w:val="222222"/>
          <w:sz w:val="32"/>
          <w:szCs w:val="32"/>
          <w:u w:val="none"/>
        </w:rPr>
        <w:t>企业应当于每年1月1日至6月30日，通过国家企业信用信息公示系统向市场监督管理部门报送上一年度年度报告，并向社会公示</w:t>
      </w:r>
      <w:r>
        <w:rPr>
          <w:rFonts w:hint="eastAsia" w:ascii="仿宋" w:hAnsi="仿宋" w:eastAsia="仿宋" w:cs="Arial"/>
          <w:color w:val="222222"/>
          <w:sz w:val="32"/>
          <w:szCs w:val="32"/>
          <w:u w:val="none"/>
          <w:lang w:eastAsia="zh-CN"/>
        </w:rPr>
        <w:t>”</w:t>
      </w:r>
      <w:r>
        <w:rPr>
          <w:rFonts w:hint="eastAsia" w:ascii="仿宋" w:hAnsi="仿宋" w:eastAsia="仿宋" w:cs="Arial"/>
          <w:color w:val="222222"/>
          <w:sz w:val="32"/>
          <w:szCs w:val="32"/>
          <w:u w:val="none"/>
        </w:rPr>
        <w:t>的规定</w:t>
      </w:r>
      <w:r>
        <w:rPr>
          <w:rFonts w:hint="eastAsia" w:ascii="仿宋" w:hAnsi="仿宋" w:eastAsia="仿宋" w:cs="Arial"/>
          <w:color w:val="222222"/>
          <w:sz w:val="32"/>
          <w:szCs w:val="32"/>
          <w:u w:val="none"/>
          <w:lang w:eastAsia="zh-CN"/>
        </w:rPr>
        <w:t>，</w:t>
      </w:r>
      <w:r>
        <w:rPr>
          <w:rFonts w:hint="eastAsia" w:ascii="仿宋" w:hAnsi="仿宋" w:eastAsia="仿宋" w:cs="Arial"/>
          <w:color w:val="222222"/>
          <w:sz w:val="32"/>
          <w:szCs w:val="32"/>
          <w:u w:val="none"/>
        </w:rPr>
        <w:t>符合《企业信息公示暂行条例》第十八条第一款</w:t>
      </w:r>
      <w:r>
        <w:rPr>
          <w:rFonts w:hint="eastAsia" w:ascii="仿宋" w:hAnsi="仿宋" w:eastAsia="仿宋" w:cs="Arial"/>
          <w:color w:val="222222"/>
          <w:sz w:val="32"/>
          <w:szCs w:val="32"/>
          <w:u w:val="none"/>
          <w:lang w:eastAsia="zh-CN"/>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w:t>
      </w:r>
      <w:r>
        <w:rPr>
          <w:rFonts w:hint="eastAsia" w:ascii="仿宋" w:hAnsi="仿宋" w:eastAsia="仿宋" w:cs="Arial"/>
          <w:color w:val="222222"/>
          <w:sz w:val="32"/>
          <w:szCs w:val="32"/>
          <w:u w:val="none"/>
          <w:lang w:val="en-US" w:eastAsia="zh-CN"/>
        </w:rPr>
        <w:t>照。</w:t>
      </w:r>
      <w:r>
        <w:rPr>
          <w:rFonts w:hint="eastAsia" w:ascii="仿宋" w:hAnsi="仿宋" w:eastAsia="仿宋" w:cs="Arial"/>
          <w:color w:val="222222"/>
          <w:sz w:val="32"/>
          <w:szCs w:val="32"/>
          <w:u w:val="none"/>
          <w:lang w:eastAsia="zh-CN"/>
        </w:rPr>
        <w:t>”</w:t>
      </w:r>
      <w:r>
        <w:rPr>
          <w:rFonts w:hint="eastAsia" w:ascii="仿宋" w:hAnsi="仿宋" w:eastAsia="仿宋" w:cs="Arial"/>
          <w:color w:val="222222"/>
          <w:sz w:val="32"/>
          <w:szCs w:val="32"/>
          <w:u w:val="none"/>
          <w:lang w:val="en-US" w:eastAsia="zh-CN"/>
        </w:rPr>
        <w:t>之规定</w:t>
      </w:r>
      <w:r>
        <w:rPr>
          <w:rFonts w:hint="eastAsia" w:ascii="仿宋" w:hAnsi="仿宋" w:eastAsia="仿宋" w:cs="Arial"/>
          <w:color w:val="222222"/>
          <w:sz w:val="32"/>
          <w:szCs w:val="32"/>
          <w:u w:val="none"/>
          <w:lang w:eastAsia="zh-CN"/>
        </w:rPr>
        <w:t>。</w:t>
      </w:r>
    </w:p>
    <w:p w14:paraId="728E0BFB">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依据《企业信息公示暂行条例》第十八条第一款之规定，</w:t>
      </w:r>
    </w:p>
    <w:p w14:paraId="38E4CA51">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决定处罚如下：</w:t>
      </w:r>
    </w:p>
    <w:p w14:paraId="72481EE8">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 xml:space="preserve">     1.吊销营业执照                                                                      </w:t>
      </w:r>
    </w:p>
    <w:p w14:paraId="462383FC">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 xml:space="preserve">                                                         </w:t>
      </w:r>
    </w:p>
    <w:p w14:paraId="35D0AC36">
      <w:pPr>
        <w:pStyle w:val="2"/>
        <w:spacing w:after="0" w:line="560" w:lineRule="exact"/>
        <w:ind w:firstLine="640" w:firstLineChars="200"/>
        <w:jc w:val="both"/>
        <w:rPr>
          <w:rFonts w:hint="default" w:ascii="仿宋" w:hAnsi="仿宋" w:eastAsia="仿宋" w:cs="Arial"/>
          <w:color w:val="222222"/>
          <w:sz w:val="32"/>
          <w:szCs w:val="32"/>
          <w:u w:val="none"/>
          <w:lang w:val="en-US" w:eastAsia="zh-CN"/>
        </w:rPr>
      </w:pPr>
      <w:r>
        <w:rPr>
          <w:rFonts w:hint="eastAsia" w:ascii="仿宋" w:hAnsi="仿宋" w:eastAsia="仿宋" w:cs="Arial"/>
          <w:color w:val="222222"/>
          <w:sz w:val="32"/>
          <w:szCs w:val="32"/>
          <w:u w:val="none"/>
        </w:rPr>
        <w:t xml:space="preserve"> 如对本行政处罚决定不服，可以自收到本决定书之日起60日内向昆都仑区人民政府申请行政复议；也可以在6个月内依法向昆都仑区人民法院提起行政诉讼。</w:t>
      </w:r>
      <w:r>
        <w:rPr>
          <w:rFonts w:hint="eastAsia" w:ascii="仿宋" w:hAnsi="仿宋" w:eastAsia="仿宋" w:cs="Arial"/>
          <w:color w:val="222222"/>
          <w:sz w:val="32"/>
          <w:szCs w:val="32"/>
          <w:u w:val="none"/>
          <w:lang w:val="en-US" w:eastAsia="zh-CN"/>
        </w:rPr>
        <w:t>申请行政复议或者提起行政诉讼期间，行政处罚不停止执行。</w:t>
      </w:r>
      <w:bookmarkStart w:id="0" w:name="_GoBack"/>
      <w:bookmarkEnd w:id="0"/>
    </w:p>
    <w:p w14:paraId="42ABA451">
      <w:pPr>
        <w:pStyle w:val="2"/>
        <w:spacing w:after="0" w:line="560" w:lineRule="exact"/>
        <w:ind w:firstLine="640" w:firstLineChars="200"/>
        <w:jc w:val="both"/>
        <w:rPr>
          <w:rFonts w:hint="eastAsia" w:ascii="仿宋" w:hAnsi="仿宋" w:eastAsia="仿宋" w:cs="Arial"/>
          <w:color w:val="222222"/>
          <w:sz w:val="32"/>
          <w:szCs w:val="32"/>
          <w:u w:val="none"/>
        </w:rPr>
      </w:pPr>
    </w:p>
    <w:p w14:paraId="50312C6C">
      <w:pPr>
        <w:pStyle w:val="2"/>
        <w:spacing w:after="0" w:line="560" w:lineRule="exact"/>
        <w:ind w:firstLine="4160" w:firstLineChars="13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包头市昆都仑区市场监督管理局</w:t>
      </w:r>
    </w:p>
    <w:p w14:paraId="55573299">
      <w:pPr>
        <w:pStyle w:val="2"/>
        <w:spacing w:after="0" w:line="560" w:lineRule="exact"/>
        <w:ind w:firstLine="640" w:firstLineChars="200"/>
        <w:jc w:val="both"/>
        <w:rPr>
          <w:rFonts w:hint="eastAsia" w:ascii="仿宋" w:hAnsi="仿宋" w:eastAsia="仿宋" w:cs="Arial"/>
          <w:color w:val="222222"/>
          <w:sz w:val="32"/>
          <w:szCs w:val="32"/>
          <w:u w:val="none"/>
        </w:rPr>
      </w:pPr>
      <w:r>
        <w:rPr>
          <w:rFonts w:hint="eastAsia" w:ascii="仿宋" w:hAnsi="仿宋" w:eastAsia="仿宋" w:cs="Arial"/>
          <w:color w:val="222222"/>
          <w:sz w:val="32"/>
          <w:szCs w:val="32"/>
          <w:u w:val="none"/>
        </w:rPr>
        <w:t xml:space="preserve">   </w:t>
      </w:r>
      <w:r>
        <w:rPr>
          <w:rFonts w:hint="eastAsia" w:ascii="仿宋" w:hAnsi="仿宋" w:eastAsia="仿宋" w:cs="Arial"/>
          <w:color w:val="222222"/>
          <w:sz w:val="32"/>
          <w:szCs w:val="32"/>
          <w:u w:val="none"/>
          <w:lang w:val="en-US" w:eastAsia="zh-CN"/>
        </w:rPr>
        <w:t xml:space="preserve">                 </w:t>
      </w:r>
      <w:r>
        <w:rPr>
          <w:rFonts w:hint="eastAsia" w:ascii="仿宋" w:hAnsi="仿宋" w:eastAsia="仿宋" w:cs="Arial"/>
          <w:color w:val="222222"/>
          <w:sz w:val="32"/>
          <w:szCs w:val="32"/>
          <w:u w:val="none"/>
        </w:rPr>
        <w:t xml:space="preserve"> </w:t>
      </w:r>
      <w:r>
        <w:rPr>
          <w:rFonts w:hint="eastAsia" w:ascii="仿宋" w:hAnsi="仿宋" w:eastAsia="仿宋" w:cs="Arial"/>
          <w:color w:val="222222"/>
          <w:sz w:val="32"/>
          <w:szCs w:val="32"/>
          <w:u w:val="none"/>
          <w:lang w:val="en-US" w:eastAsia="zh-CN"/>
        </w:rPr>
        <w:t xml:space="preserve">    </w:t>
      </w:r>
      <w:r>
        <w:rPr>
          <w:rFonts w:hint="eastAsia" w:ascii="仿宋" w:hAnsi="仿宋" w:eastAsia="仿宋" w:cs="Arial"/>
          <w:color w:val="222222"/>
          <w:sz w:val="32"/>
          <w:szCs w:val="32"/>
          <w:u w:val="none"/>
        </w:rPr>
        <w:t xml:space="preserve"> </w:t>
      </w:r>
      <w:r>
        <w:rPr>
          <w:rFonts w:hint="eastAsia" w:ascii="仿宋" w:hAnsi="仿宋" w:eastAsia="仿宋" w:cs="Arial"/>
          <w:color w:val="222222"/>
          <w:sz w:val="32"/>
          <w:szCs w:val="32"/>
          <w:u w:val="none"/>
          <w:lang w:val="en-US" w:eastAsia="zh-CN"/>
        </w:rPr>
        <w:t>2026</w:t>
      </w:r>
      <w:r>
        <w:rPr>
          <w:rFonts w:hint="eastAsia" w:ascii="仿宋" w:hAnsi="仿宋" w:eastAsia="仿宋" w:cs="Arial"/>
          <w:color w:val="222222"/>
          <w:sz w:val="32"/>
          <w:szCs w:val="32"/>
          <w:u w:val="none"/>
        </w:rPr>
        <w:t xml:space="preserve">年 </w:t>
      </w:r>
      <w:r>
        <w:rPr>
          <w:rFonts w:hint="eastAsia" w:ascii="仿宋" w:hAnsi="仿宋" w:eastAsia="仿宋" w:cs="Arial"/>
          <w:color w:val="222222"/>
          <w:sz w:val="32"/>
          <w:szCs w:val="32"/>
          <w:u w:val="none"/>
          <w:lang w:val="en-US" w:eastAsia="zh-CN"/>
        </w:rPr>
        <w:t>5</w:t>
      </w:r>
      <w:r>
        <w:rPr>
          <w:rFonts w:hint="eastAsia" w:ascii="仿宋" w:hAnsi="仿宋" w:eastAsia="仿宋" w:cs="Arial"/>
          <w:color w:val="222222"/>
          <w:sz w:val="32"/>
          <w:szCs w:val="32"/>
          <w:u w:val="none"/>
        </w:rPr>
        <w:t>月</w:t>
      </w:r>
      <w:r>
        <w:rPr>
          <w:rFonts w:hint="eastAsia" w:ascii="仿宋" w:hAnsi="仿宋" w:eastAsia="仿宋" w:cs="Arial"/>
          <w:color w:val="222222"/>
          <w:sz w:val="32"/>
          <w:szCs w:val="32"/>
          <w:u w:val="none"/>
          <w:lang w:val="en-US" w:eastAsia="zh-CN"/>
        </w:rPr>
        <w:t xml:space="preserve"> 26</w:t>
      </w:r>
      <w:r>
        <w:rPr>
          <w:rFonts w:hint="eastAsia" w:ascii="仿宋" w:hAnsi="仿宋" w:eastAsia="仿宋" w:cs="Arial"/>
          <w:color w:val="222222"/>
          <w:sz w:val="32"/>
          <w:szCs w:val="32"/>
          <w:u w:val="none"/>
        </w:rPr>
        <w:t>日</w:t>
      </w:r>
    </w:p>
    <w:p w14:paraId="4C8C93FA">
      <w:pPr>
        <w:pStyle w:val="2"/>
        <w:spacing w:after="0" w:line="520" w:lineRule="exact"/>
        <w:jc w:val="both"/>
        <w:rPr>
          <w:rFonts w:ascii="仿宋" w:hAnsi="仿宋" w:eastAsia="仿宋" w:cs="仿宋"/>
          <w:sz w:val="32"/>
          <w:szCs w:val="32"/>
        </w:rPr>
      </w:pPr>
    </w:p>
    <w:p w14:paraId="0599FE3D">
      <w:pPr>
        <w:pStyle w:val="2"/>
        <w:spacing w:after="0" w:line="520" w:lineRule="exact"/>
        <w:jc w:val="both"/>
        <w:rPr>
          <w:rFonts w:hint="eastAsia" w:ascii="黑体" w:hAnsi="黑体" w:eastAsia="黑体" w:cs="黑体"/>
          <w:sz w:val="32"/>
          <w:szCs w:val="32"/>
        </w:rPr>
      </w:pPr>
    </w:p>
    <w:p w14:paraId="1BAD1C75">
      <w:pPr>
        <w:pStyle w:val="2"/>
        <w:spacing w:after="0" w:line="520" w:lineRule="exact"/>
        <w:jc w:val="both"/>
        <w:rPr>
          <w:rFonts w:hint="eastAsia" w:ascii="黑体" w:hAnsi="黑体" w:eastAsia="黑体" w:cs="黑体"/>
          <w:sz w:val="32"/>
          <w:szCs w:val="32"/>
        </w:rPr>
      </w:pPr>
    </w:p>
    <w:p w14:paraId="53B7DE48">
      <w:pPr>
        <w:pStyle w:val="2"/>
        <w:spacing w:after="0" w:line="520" w:lineRule="exact"/>
        <w:jc w:val="both"/>
        <w:rPr>
          <w:rFonts w:hint="eastAsia" w:ascii="黑体" w:hAnsi="黑体" w:eastAsia="黑体" w:cs="黑体"/>
          <w:sz w:val="32"/>
          <w:szCs w:val="32"/>
        </w:rPr>
      </w:pPr>
      <w:r>
        <w:rPr>
          <w:rFonts w:hint="eastAsia" w:ascii="黑体" w:hAnsi="黑体" w:eastAsia="黑体" w:cs="黑体"/>
          <w:sz w:val="32"/>
          <w:szCs w:val="32"/>
        </w:rPr>
        <w:t>（市场监督管理部门将依法向社会公开本行政处罚决定信息）</w:t>
      </w:r>
    </w:p>
    <w:p w14:paraId="52BA722E">
      <w:pPr>
        <w:pStyle w:val="2"/>
        <w:spacing w:after="0" w:line="560" w:lineRule="exact"/>
        <w:ind w:firstLine="320" w:firstLineChars="100"/>
        <w:jc w:val="both"/>
        <w:rPr>
          <w:rFonts w:ascii="仿宋" w:hAnsi="仿宋" w:eastAsia="仿宋" w:cs="仿宋"/>
          <w:sz w:val="32"/>
          <w:szCs w:val="32"/>
        </w:rPr>
      </w:pPr>
      <w:r>
        <w:rPr>
          <w:rFonts w:hint="eastAsia" w:ascii="仿宋_GB2312" w:eastAsia="仿宋_GB2312"/>
          <w:sz w:val="32"/>
          <w:szCs w:val="32"/>
          <w:lang w:bidi="ar-SA"/>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29845</wp:posOffset>
                </wp:positionV>
                <wp:extent cx="5619750" cy="28575"/>
                <wp:effectExtent l="0" t="6350" r="0" b="22225"/>
                <wp:wrapNone/>
                <wp:docPr id="1" name="直接连接符 1"/>
                <wp:cNvGraphicFramePr/>
                <a:graphic xmlns:a="http://schemas.openxmlformats.org/drawingml/2006/main">
                  <a:graphicData uri="http://schemas.microsoft.com/office/word/2010/wordprocessingShape">
                    <wps:wsp>
                      <wps:cNvCnPr/>
                      <wps:spPr>
                        <a:xfrm>
                          <a:off x="0" y="0"/>
                          <a:ext cx="5619750"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pt;margin-top:2.35pt;height:2.25pt;width:442.5pt;z-index:251659264;mso-width-relative:page;mso-height-relative:page;" filled="f" stroked="t" coordsize="21600,21600" o:gfxdata="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7unwHTAAAABQEAAA8AAAAAAAAAAQAg&#10;AAAAIgAAAGRycy9kb3ducmV2LnhtbFBLAQIUABQAAAAIAIdO4kBeDO2n2gEAAJ8DAAAOAAAAAAAA&#10;AAEAIAAAACIBAABkcnMvZTJvRG9jLnhtbFBLBQYAAAAABgAGAFkBAABuBQAAAAA=&#10;">
                <v:fill on="f" focussize="0,0"/>
                <v:stroke weight="1pt" color="#000000 [3213]" joinstyle="round"/>
                <v:imagedata o:title=""/>
                <o:lock v:ext="edit" aspectratio="f"/>
              </v:line>
            </w:pict>
          </mc:Fallback>
        </mc:AlternateContent>
      </w:r>
      <w:r>
        <w:rPr>
          <w:rFonts w:hint="eastAsia" w:ascii="仿宋_GB2312" w:eastAsia="仿宋_GB2312"/>
          <w:sz w:val="32"/>
          <w:szCs w:val="32"/>
        </w:rPr>
        <w:t>本文书一式三份，一份送达，一份归档，一份备查。</w:t>
      </w:r>
    </w:p>
    <w:sectPr>
      <w:pgSz w:w="11906" w:h="16838"/>
      <w:pgMar w:top="2041" w:right="1531" w:bottom="2041"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Lucida Sans">
    <w:panose1 w:val="020B0602030504020204"/>
    <w:charset w:val="00"/>
    <w:family w:val="swiss"/>
    <w:pitch w:val="default"/>
    <w:sig w:usb0="00000003" w:usb1="00000000" w:usb2="00000000" w:usb3="00000000" w:csb0="2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ZTI1ZDgzOWQ3OGYzMmVjOWFmYTk1ODAzNGM5MmIifQ=="/>
  </w:docVars>
  <w:rsids>
    <w:rsidRoot w:val="00EF69E3"/>
    <w:rsid w:val="00063514"/>
    <w:rsid w:val="00103EE6"/>
    <w:rsid w:val="0010678F"/>
    <w:rsid w:val="00110B25"/>
    <w:rsid w:val="00132D7F"/>
    <w:rsid w:val="00166B7F"/>
    <w:rsid w:val="001B35BD"/>
    <w:rsid w:val="001C7A92"/>
    <w:rsid w:val="002706BC"/>
    <w:rsid w:val="002920EB"/>
    <w:rsid w:val="00353B6C"/>
    <w:rsid w:val="00375F17"/>
    <w:rsid w:val="00554BD8"/>
    <w:rsid w:val="00583D52"/>
    <w:rsid w:val="0063180B"/>
    <w:rsid w:val="00652E8E"/>
    <w:rsid w:val="006B6287"/>
    <w:rsid w:val="008156AE"/>
    <w:rsid w:val="009472DE"/>
    <w:rsid w:val="00957097"/>
    <w:rsid w:val="00985281"/>
    <w:rsid w:val="009E0336"/>
    <w:rsid w:val="00AC5930"/>
    <w:rsid w:val="00B238A5"/>
    <w:rsid w:val="00B40BBC"/>
    <w:rsid w:val="00BD4E04"/>
    <w:rsid w:val="00C87503"/>
    <w:rsid w:val="00CC5F36"/>
    <w:rsid w:val="00CE1E6E"/>
    <w:rsid w:val="00D10ADC"/>
    <w:rsid w:val="00E45FC6"/>
    <w:rsid w:val="00E75534"/>
    <w:rsid w:val="00E843B7"/>
    <w:rsid w:val="00EF69E3"/>
    <w:rsid w:val="00F3119D"/>
    <w:rsid w:val="00F93E4A"/>
    <w:rsid w:val="00F96FB0"/>
    <w:rsid w:val="01012953"/>
    <w:rsid w:val="0170404F"/>
    <w:rsid w:val="017A23FC"/>
    <w:rsid w:val="021C1D55"/>
    <w:rsid w:val="02207AF1"/>
    <w:rsid w:val="03602F89"/>
    <w:rsid w:val="03785EFE"/>
    <w:rsid w:val="03E65223"/>
    <w:rsid w:val="04197401"/>
    <w:rsid w:val="04956B19"/>
    <w:rsid w:val="04CD5EB4"/>
    <w:rsid w:val="04EE0B69"/>
    <w:rsid w:val="05636A92"/>
    <w:rsid w:val="06391853"/>
    <w:rsid w:val="06D12B01"/>
    <w:rsid w:val="06DC62BA"/>
    <w:rsid w:val="079E20EB"/>
    <w:rsid w:val="0850793D"/>
    <w:rsid w:val="086856AA"/>
    <w:rsid w:val="08782ECD"/>
    <w:rsid w:val="08833B95"/>
    <w:rsid w:val="09074B7A"/>
    <w:rsid w:val="092E71E1"/>
    <w:rsid w:val="093E783C"/>
    <w:rsid w:val="094369F4"/>
    <w:rsid w:val="09A85101"/>
    <w:rsid w:val="0A146D09"/>
    <w:rsid w:val="0AA911E0"/>
    <w:rsid w:val="0B2F2ACE"/>
    <w:rsid w:val="0BA202D1"/>
    <w:rsid w:val="0BA40214"/>
    <w:rsid w:val="0BAB04F0"/>
    <w:rsid w:val="0CCF2865"/>
    <w:rsid w:val="0D1C0355"/>
    <w:rsid w:val="0D7D649B"/>
    <w:rsid w:val="0DB13BFA"/>
    <w:rsid w:val="0E674220"/>
    <w:rsid w:val="0F77571A"/>
    <w:rsid w:val="0F842871"/>
    <w:rsid w:val="0F883B8E"/>
    <w:rsid w:val="0FC7698B"/>
    <w:rsid w:val="0FC8599E"/>
    <w:rsid w:val="0FDD55A9"/>
    <w:rsid w:val="10573DC0"/>
    <w:rsid w:val="108B283E"/>
    <w:rsid w:val="11037A3A"/>
    <w:rsid w:val="11396EBA"/>
    <w:rsid w:val="118303FA"/>
    <w:rsid w:val="12C64581"/>
    <w:rsid w:val="13367661"/>
    <w:rsid w:val="14E04558"/>
    <w:rsid w:val="14F14D24"/>
    <w:rsid w:val="152A4C9B"/>
    <w:rsid w:val="15370A83"/>
    <w:rsid w:val="15D9713C"/>
    <w:rsid w:val="164503AB"/>
    <w:rsid w:val="166A2499"/>
    <w:rsid w:val="166C0CE2"/>
    <w:rsid w:val="16987384"/>
    <w:rsid w:val="17672E9E"/>
    <w:rsid w:val="18777495"/>
    <w:rsid w:val="18EE5847"/>
    <w:rsid w:val="194754F8"/>
    <w:rsid w:val="19651CAA"/>
    <w:rsid w:val="19A87BD5"/>
    <w:rsid w:val="1A0B5DAF"/>
    <w:rsid w:val="1A570388"/>
    <w:rsid w:val="1A665873"/>
    <w:rsid w:val="1B145F3C"/>
    <w:rsid w:val="1B3F3673"/>
    <w:rsid w:val="1C843C2F"/>
    <w:rsid w:val="1D06346D"/>
    <w:rsid w:val="1D182682"/>
    <w:rsid w:val="1D4D6D3B"/>
    <w:rsid w:val="1D680F8A"/>
    <w:rsid w:val="1D8E540C"/>
    <w:rsid w:val="1D951ED5"/>
    <w:rsid w:val="1DF02A02"/>
    <w:rsid w:val="1DF92C34"/>
    <w:rsid w:val="1F0C1BB1"/>
    <w:rsid w:val="1F564AAF"/>
    <w:rsid w:val="1F6862B9"/>
    <w:rsid w:val="202C1558"/>
    <w:rsid w:val="203D31E2"/>
    <w:rsid w:val="211E15F7"/>
    <w:rsid w:val="214F7D62"/>
    <w:rsid w:val="22F95463"/>
    <w:rsid w:val="232248DE"/>
    <w:rsid w:val="2339443F"/>
    <w:rsid w:val="23D36882"/>
    <w:rsid w:val="23FF0F2D"/>
    <w:rsid w:val="24670C1B"/>
    <w:rsid w:val="25167469"/>
    <w:rsid w:val="25EE1917"/>
    <w:rsid w:val="2606086C"/>
    <w:rsid w:val="261F071C"/>
    <w:rsid w:val="26FC6EE3"/>
    <w:rsid w:val="27B9174D"/>
    <w:rsid w:val="27EA40EB"/>
    <w:rsid w:val="283C41F3"/>
    <w:rsid w:val="2852362E"/>
    <w:rsid w:val="28712788"/>
    <w:rsid w:val="2872328B"/>
    <w:rsid w:val="28761DAF"/>
    <w:rsid w:val="289C135B"/>
    <w:rsid w:val="28EC24AC"/>
    <w:rsid w:val="29740E9B"/>
    <w:rsid w:val="29833013"/>
    <w:rsid w:val="29BD7007"/>
    <w:rsid w:val="2A204726"/>
    <w:rsid w:val="2A417EFC"/>
    <w:rsid w:val="2ACC664C"/>
    <w:rsid w:val="2AF17B98"/>
    <w:rsid w:val="2B7B4367"/>
    <w:rsid w:val="2B9177A5"/>
    <w:rsid w:val="2BE61F1D"/>
    <w:rsid w:val="2D46273E"/>
    <w:rsid w:val="2D8C6B8A"/>
    <w:rsid w:val="2DAC28D2"/>
    <w:rsid w:val="2E0042AC"/>
    <w:rsid w:val="2E8F4567"/>
    <w:rsid w:val="2E9E4E14"/>
    <w:rsid w:val="2EA52FDA"/>
    <w:rsid w:val="2EBE4074"/>
    <w:rsid w:val="2F501490"/>
    <w:rsid w:val="2F7F071F"/>
    <w:rsid w:val="2F9C6CB9"/>
    <w:rsid w:val="2FCE3AA8"/>
    <w:rsid w:val="309E2925"/>
    <w:rsid w:val="311A734D"/>
    <w:rsid w:val="319E0820"/>
    <w:rsid w:val="320F6753"/>
    <w:rsid w:val="33210DAE"/>
    <w:rsid w:val="339C49FE"/>
    <w:rsid w:val="346F258B"/>
    <w:rsid w:val="34A7178F"/>
    <w:rsid w:val="35214BA9"/>
    <w:rsid w:val="35770248"/>
    <w:rsid w:val="357E7C62"/>
    <w:rsid w:val="35F73DCA"/>
    <w:rsid w:val="37241B3E"/>
    <w:rsid w:val="3724206B"/>
    <w:rsid w:val="372B562D"/>
    <w:rsid w:val="373E1731"/>
    <w:rsid w:val="378D4DD9"/>
    <w:rsid w:val="378E3CC2"/>
    <w:rsid w:val="37C13B49"/>
    <w:rsid w:val="386F7BD9"/>
    <w:rsid w:val="388A6A54"/>
    <w:rsid w:val="39027871"/>
    <w:rsid w:val="392847D9"/>
    <w:rsid w:val="392D04F0"/>
    <w:rsid w:val="39317CD2"/>
    <w:rsid w:val="3963743B"/>
    <w:rsid w:val="396E1218"/>
    <w:rsid w:val="39B308A8"/>
    <w:rsid w:val="3A3F6D4F"/>
    <w:rsid w:val="3A495DF9"/>
    <w:rsid w:val="3A750B8F"/>
    <w:rsid w:val="3A795A22"/>
    <w:rsid w:val="3A987D78"/>
    <w:rsid w:val="3B8D0EA5"/>
    <w:rsid w:val="3C4E56AC"/>
    <w:rsid w:val="3C9C2DD7"/>
    <w:rsid w:val="3CA61F67"/>
    <w:rsid w:val="3D072AB7"/>
    <w:rsid w:val="3D7B73A1"/>
    <w:rsid w:val="3DE62FF2"/>
    <w:rsid w:val="3E034BC6"/>
    <w:rsid w:val="3E0D4291"/>
    <w:rsid w:val="3EBD2530"/>
    <w:rsid w:val="3ECF57E4"/>
    <w:rsid w:val="3ED66BEE"/>
    <w:rsid w:val="3F0606B7"/>
    <w:rsid w:val="3F2939CA"/>
    <w:rsid w:val="3F304455"/>
    <w:rsid w:val="3F493428"/>
    <w:rsid w:val="3FE8198B"/>
    <w:rsid w:val="402365F1"/>
    <w:rsid w:val="40C27320"/>
    <w:rsid w:val="410C3994"/>
    <w:rsid w:val="41442CB3"/>
    <w:rsid w:val="42332D48"/>
    <w:rsid w:val="42530270"/>
    <w:rsid w:val="42C92BAA"/>
    <w:rsid w:val="42DA32B5"/>
    <w:rsid w:val="43087CF2"/>
    <w:rsid w:val="43224CDE"/>
    <w:rsid w:val="44373701"/>
    <w:rsid w:val="44770C71"/>
    <w:rsid w:val="457B7E9D"/>
    <w:rsid w:val="46854329"/>
    <w:rsid w:val="46884147"/>
    <w:rsid w:val="46971950"/>
    <w:rsid w:val="48EC0DB6"/>
    <w:rsid w:val="497143D7"/>
    <w:rsid w:val="4A091B92"/>
    <w:rsid w:val="4C367671"/>
    <w:rsid w:val="4C7F49CF"/>
    <w:rsid w:val="4D2F438B"/>
    <w:rsid w:val="4DC9482B"/>
    <w:rsid w:val="4E3C7478"/>
    <w:rsid w:val="4E6F22BE"/>
    <w:rsid w:val="4E811756"/>
    <w:rsid w:val="4F974A94"/>
    <w:rsid w:val="4FE56E07"/>
    <w:rsid w:val="4FE72B8D"/>
    <w:rsid w:val="4FF76B31"/>
    <w:rsid w:val="511603BF"/>
    <w:rsid w:val="511D0D94"/>
    <w:rsid w:val="51346F9E"/>
    <w:rsid w:val="515D5952"/>
    <w:rsid w:val="51B11D98"/>
    <w:rsid w:val="51BF470F"/>
    <w:rsid w:val="51F84468"/>
    <w:rsid w:val="525564AF"/>
    <w:rsid w:val="53657417"/>
    <w:rsid w:val="53771C6B"/>
    <w:rsid w:val="538A6F37"/>
    <w:rsid w:val="53A5530F"/>
    <w:rsid w:val="53D954F7"/>
    <w:rsid w:val="54684B3E"/>
    <w:rsid w:val="553B6425"/>
    <w:rsid w:val="555E3D89"/>
    <w:rsid w:val="55710B51"/>
    <w:rsid w:val="5693277A"/>
    <w:rsid w:val="569538F5"/>
    <w:rsid w:val="56A37328"/>
    <w:rsid w:val="56E5718B"/>
    <w:rsid w:val="57AB1DF6"/>
    <w:rsid w:val="584C6889"/>
    <w:rsid w:val="58551F3A"/>
    <w:rsid w:val="588B0BD6"/>
    <w:rsid w:val="58BF0ABE"/>
    <w:rsid w:val="58D91197"/>
    <w:rsid w:val="59207E2F"/>
    <w:rsid w:val="59713251"/>
    <w:rsid w:val="5A1A1938"/>
    <w:rsid w:val="5A233C59"/>
    <w:rsid w:val="5A506481"/>
    <w:rsid w:val="5A742167"/>
    <w:rsid w:val="5AD50FBC"/>
    <w:rsid w:val="5B1F431B"/>
    <w:rsid w:val="5B6126CF"/>
    <w:rsid w:val="5B8B4C45"/>
    <w:rsid w:val="5C047163"/>
    <w:rsid w:val="5C2A5971"/>
    <w:rsid w:val="5C2C1152"/>
    <w:rsid w:val="5C5A0274"/>
    <w:rsid w:val="5C631ADA"/>
    <w:rsid w:val="5CBB2E25"/>
    <w:rsid w:val="5D454C85"/>
    <w:rsid w:val="5DD57EC1"/>
    <w:rsid w:val="5DFA67F7"/>
    <w:rsid w:val="5DFF3C01"/>
    <w:rsid w:val="5E1375F7"/>
    <w:rsid w:val="5E2C6F6A"/>
    <w:rsid w:val="5E580F48"/>
    <w:rsid w:val="5F2907F0"/>
    <w:rsid w:val="5F943875"/>
    <w:rsid w:val="60D00D60"/>
    <w:rsid w:val="611F45B5"/>
    <w:rsid w:val="612A5F6D"/>
    <w:rsid w:val="61655649"/>
    <w:rsid w:val="61B115C9"/>
    <w:rsid w:val="620200B8"/>
    <w:rsid w:val="62211CA1"/>
    <w:rsid w:val="624836BE"/>
    <w:rsid w:val="624B6918"/>
    <w:rsid w:val="62CD45CA"/>
    <w:rsid w:val="62D468FE"/>
    <w:rsid w:val="62E424F9"/>
    <w:rsid w:val="62F551F2"/>
    <w:rsid w:val="632953B2"/>
    <w:rsid w:val="63B43A0C"/>
    <w:rsid w:val="63CC38E0"/>
    <w:rsid w:val="63D06D6D"/>
    <w:rsid w:val="642539AE"/>
    <w:rsid w:val="64582841"/>
    <w:rsid w:val="64C13BA0"/>
    <w:rsid w:val="65912673"/>
    <w:rsid w:val="65BA2A21"/>
    <w:rsid w:val="66594A11"/>
    <w:rsid w:val="66F51FDA"/>
    <w:rsid w:val="670A363D"/>
    <w:rsid w:val="672F705B"/>
    <w:rsid w:val="67351602"/>
    <w:rsid w:val="674C002C"/>
    <w:rsid w:val="6765594E"/>
    <w:rsid w:val="67C02358"/>
    <w:rsid w:val="68066AF4"/>
    <w:rsid w:val="68D7443B"/>
    <w:rsid w:val="69016418"/>
    <w:rsid w:val="69424E65"/>
    <w:rsid w:val="69F66E90"/>
    <w:rsid w:val="6A3C72DD"/>
    <w:rsid w:val="6B085DE1"/>
    <w:rsid w:val="6BCF33D7"/>
    <w:rsid w:val="6BE35529"/>
    <w:rsid w:val="6C993129"/>
    <w:rsid w:val="6CB258ED"/>
    <w:rsid w:val="6D1C58E3"/>
    <w:rsid w:val="6DA834BC"/>
    <w:rsid w:val="6E20364D"/>
    <w:rsid w:val="6F0411D0"/>
    <w:rsid w:val="6F5D4F56"/>
    <w:rsid w:val="6F635777"/>
    <w:rsid w:val="6FAC6CDA"/>
    <w:rsid w:val="6FAD131E"/>
    <w:rsid w:val="70492765"/>
    <w:rsid w:val="7113198E"/>
    <w:rsid w:val="727B23F4"/>
    <w:rsid w:val="73B66C81"/>
    <w:rsid w:val="73ED7113"/>
    <w:rsid w:val="74F01770"/>
    <w:rsid w:val="74F66E18"/>
    <w:rsid w:val="75824A6F"/>
    <w:rsid w:val="75F97508"/>
    <w:rsid w:val="76704B7D"/>
    <w:rsid w:val="76973862"/>
    <w:rsid w:val="76B50737"/>
    <w:rsid w:val="770E6066"/>
    <w:rsid w:val="7839629E"/>
    <w:rsid w:val="786E2449"/>
    <w:rsid w:val="795728FE"/>
    <w:rsid w:val="798A3652"/>
    <w:rsid w:val="79BD040D"/>
    <w:rsid w:val="79FF3A66"/>
    <w:rsid w:val="7A3A40D8"/>
    <w:rsid w:val="7A6711C0"/>
    <w:rsid w:val="7A7262A2"/>
    <w:rsid w:val="7AB7546C"/>
    <w:rsid w:val="7AEC62FA"/>
    <w:rsid w:val="7B130397"/>
    <w:rsid w:val="7B402E0F"/>
    <w:rsid w:val="7C375D86"/>
    <w:rsid w:val="7C7D66FE"/>
    <w:rsid w:val="7CDE1DF3"/>
    <w:rsid w:val="7D3724F6"/>
    <w:rsid w:val="7D4513F5"/>
    <w:rsid w:val="7D5D658F"/>
    <w:rsid w:val="7E210FDE"/>
    <w:rsid w:val="7F4C1C02"/>
    <w:rsid w:val="7F54679E"/>
    <w:rsid w:val="7F8D55A5"/>
    <w:rsid w:val="7FD9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283"/>
      <w:jc w:val="left"/>
    </w:pPr>
    <w:rPr>
      <w:rFonts w:ascii="Liberation Serif" w:hAnsi="Liberation Serif" w:eastAsia="Arial Unicode MS" w:cs="Lucida Sans"/>
      <w:kern w:val="0"/>
      <w:sz w:val="24"/>
      <w:szCs w:val="24"/>
      <w:lang w:bidi="hi-IN"/>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customStyle="1" w:styleId="9">
    <w:name w:val="正文文本 Char"/>
    <w:basedOn w:val="7"/>
    <w:link w:val="2"/>
    <w:qFormat/>
    <w:uiPriority w:val="0"/>
    <w:rPr>
      <w:rFonts w:ascii="Liberation Serif" w:hAnsi="Liberation Serif" w:eastAsia="Arial Unicode MS" w:cs="Lucida Sans"/>
      <w:kern w:val="0"/>
      <w:sz w:val="24"/>
      <w:szCs w:val="24"/>
      <w:lang w:bidi="hi-IN"/>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1246</Words>
  <Characters>1316</Characters>
  <Lines>14</Lines>
  <Paragraphs>4</Paragraphs>
  <TotalTime>21</TotalTime>
  <ScaleCrop>false</ScaleCrop>
  <LinksUpToDate>false</LinksUpToDate>
  <CharactersWithSpaces>1712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2019-04-12T07:40:00Z</dcterms:created>
  <dc:creator>微软用户</dc:creator>
  <cp:lastModifiedBy>杨嘉蓉</cp:lastModifiedBy>
  <cp:lastPrinted>2025-05-19T08:35:00Z</cp:lastPrinted>
  <dcterms:modified xsi:type="dcterms:W3CDTF">2026-05-26T02:39:40Z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53FC9BBF42CC4B90AA373894E6414077_13</vt:lpwstr>
  </property>
  <property fmtid="{D5CDD505-2E9C-101B-9397-08002B2CF9AE}" pid="4" name="KSOTemplateDocerSaveRecord">
    <vt:lpwstr>eyJoZGlkIjoiOWM0ZTI1ZDgzOWQ3OGYzMmVjOWFmYTk1ODAzNGM5MmIiLCJ1c2VySWQiOiIyOTk5NzIwOTcifQ==</vt:lpwstr>
  </property>
</Properties>
</file>