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rPr>
        <w:t>附件1：</w:t>
      </w:r>
    </w:p>
    <w:p>
      <w:pPr>
        <w:keepNext w:val="0"/>
        <w:keepLines w:val="0"/>
        <w:pageBreakBefore w:val="0"/>
        <w:kinsoku/>
        <w:wordWrap/>
        <w:autoSpaceDN/>
        <w:bidi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昆区202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年环境空气质量改善目标</w:t>
      </w:r>
    </w:p>
    <w:p>
      <w:pPr>
        <w:keepNext w:val="0"/>
        <w:keepLines w:val="0"/>
        <w:pageBreakBefore w:val="0"/>
        <w:kinsoku/>
        <w:wordWrap/>
        <w:autoSpaceDN/>
        <w:bidi w:val="0"/>
        <w:spacing w:line="560" w:lineRule="exact"/>
        <w:jc w:val="center"/>
        <w:rPr>
          <w:rFonts w:hint="eastAsia" w:ascii="方正小标宋简体" w:hAnsi="方正小标宋简体" w:eastAsia="方正小标宋简体" w:cs="方正小标宋简体"/>
          <w:color w:val="auto"/>
        </w:rPr>
      </w:pPr>
    </w:p>
    <w:tbl>
      <w:tblPr>
        <w:tblStyle w:val="11"/>
        <w:tblW w:w="5117" w:type="pct"/>
        <w:jc w:val="center"/>
        <w:tblLayout w:type="autofit"/>
        <w:tblCellMar>
          <w:top w:w="0" w:type="dxa"/>
          <w:left w:w="108" w:type="dxa"/>
          <w:bottom w:w="0" w:type="dxa"/>
          <w:right w:w="108" w:type="dxa"/>
        </w:tblCellMar>
      </w:tblPr>
      <w:tblGrid>
        <w:gridCol w:w="795"/>
        <w:gridCol w:w="885"/>
        <w:gridCol w:w="1088"/>
        <w:gridCol w:w="1219"/>
        <w:gridCol w:w="1248"/>
        <w:gridCol w:w="1892"/>
        <w:gridCol w:w="1184"/>
        <w:gridCol w:w="1350"/>
        <w:gridCol w:w="1895"/>
        <w:gridCol w:w="1283"/>
        <w:gridCol w:w="1667"/>
      </w:tblGrid>
      <w:tr>
        <w:tblPrEx>
          <w:tblCellMar>
            <w:top w:w="0" w:type="dxa"/>
            <w:left w:w="108" w:type="dxa"/>
            <w:bottom w:w="0" w:type="dxa"/>
            <w:right w:w="108" w:type="dxa"/>
          </w:tblCellMar>
        </w:tblPrEx>
        <w:trPr>
          <w:trHeight w:val="600" w:hRule="atLeast"/>
          <w:jc w:val="center"/>
        </w:trPr>
        <w:tc>
          <w:tcPr>
            <w:tcW w:w="274" w:type="pct"/>
            <w:vMerge w:val="restart"/>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序号</w:t>
            </w:r>
          </w:p>
        </w:tc>
        <w:tc>
          <w:tcPr>
            <w:tcW w:w="305"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地  区</w:t>
            </w:r>
          </w:p>
        </w:tc>
        <w:tc>
          <w:tcPr>
            <w:tcW w:w="375"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年度</w:t>
            </w:r>
          </w:p>
        </w:tc>
        <w:tc>
          <w:tcPr>
            <w:tcW w:w="420"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优良天数</w:t>
            </w:r>
          </w:p>
        </w:tc>
        <w:tc>
          <w:tcPr>
            <w:tcW w:w="430" w:type="pct"/>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优良天数比例目标</w:t>
            </w:r>
          </w:p>
        </w:tc>
        <w:tc>
          <w:tcPr>
            <w:tcW w:w="1525" w:type="pct"/>
            <w:gridSpan w:val="3"/>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细颗粒物（PM</w:t>
            </w:r>
            <w:r>
              <w:rPr>
                <w:rFonts w:hint="eastAsia" w:ascii="仿宋_GB2312" w:hAnsi="仿宋_GB2312" w:eastAsia="仿宋_GB2312" w:cs="仿宋_GB2312"/>
                <w:b/>
                <w:bCs/>
                <w:color w:val="auto"/>
                <w:kern w:val="0"/>
                <w:szCs w:val="21"/>
                <w:vertAlign w:val="subscript"/>
              </w:rPr>
              <w:t>2.5</w:t>
            </w:r>
            <w:r>
              <w:rPr>
                <w:rFonts w:hint="eastAsia" w:ascii="仿宋_GB2312" w:hAnsi="仿宋_GB2312" w:eastAsia="仿宋_GB2312" w:cs="仿宋_GB2312"/>
                <w:b/>
                <w:bCs/>
                <w:color w:val="auto"/>
                <w:kern w:val="0"/>
                <w:szCs w:val="21"/>
              </w:rPr>
              <w:t>）浓度目标</w:t>
            </w:r>
          </w:p>
        </w:tc>
        <w:tc>
          <w:tcPr>
            <w:tcW w:w="1669" w:type="pct"/>
            <w:gridSpan w:val="3"/>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可吸入颗粒物（PM</w:t>
            </w:r>
            <w:r>
              <w:rPr>
                <w:rFonts w:hint="eastAsia" w:ascii="仿宋_GB2312" w:hAnsi="仿宋_GB2312" w:eastAsia="仿宋_GB2312" w:cs="仿宋_GB2312"/>
                <w:b/>
                <w:bCs/>
                <w:color w:val="auto"/>
                <w:kern w:val="0"/>
                <w:szCs w:val="21"/>
                <w:vertAlign w:val="subscript"/>
              </w:rPr>
              <w:t>10</w:t>
            </w:r>
            <w:r>
              <w:rPr>
                <w:rFonts w:hint="eastAsia" w:ascii="仿宋_GB2312" w:hAnsi="仿宋_GB2312" w:eastAsia="仿宋_GB2312" w:cs="仿宋_GB2312"/>
                <w:b/>
                <w:bCs/>
                <w:color w:val="auto"/>
                <w:kern w:val="0"/>
                <w:szCs w:val="21"/>
              </w:rPr>
              <w:t>）浓度目标</w:t>
            </w:r>
          </w:p>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（微克/立方米）</w:t>
            </w:r>
          </w:p>
        </w:tc>
      </w:tr>
      <w:tr>
        <w:tblPrEx>
          <w:tblCellMar>
            <w:top w:w="0" w:type="dxa"/>
            <w:left w:w="108" w:type="dxa"/>
            <w:bottom w:w="0" w:type="dxa"/>
            <w:right w:w="108" w:type="dxa"/>
          </w:tblCellMar>
        </w:tblPrEx>
        <w:trPr>
          <w:trHeight w:val="455" w:hRule="atLeast"/>
          <w:jc w:val="center"/>
        </w:trPr>
        <w:tc>
          <w:tcPr>
            <w:tcW w:w="274" w:type="pct"/>
            <w:vMerge w:val="continue"/>
            <w:tcBorders>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305"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375"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420"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430" w:type="pct"/>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p>
        </w:tc>
        <w:tc>
          <w:tcPr>
            <w:tcW w:w="65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基准值（202</w:t>
            </w:r>
            <w:r>
              <w:rPr>
                <w:rFonts w:hint="eastAsia" w:ascii="仿宋_GB2312" w:hAnsi="仿宋_GB2312" w:eastAsia="仿宋_GB2312" w:cs="仿宋_GB2312"/>
                <w:b/>
                <w:bCs/>
                <w:color w:val="auto"/>
                <w:kern w:val="0"/>
                <w:szCs w:val="21"/>
                <w:lang w:val="en-US" w:eastAsia="zh-CN"/>
              </w:rPr>
              <w:t>1</w:t>
            </w:r>
            <w:r>
              <w:rPr>
                <w:rFonts w:hint="eastAsia" w:ascii="仿宋_GB2312" w:hAnsi="仿宋_GB2312" w:eastAsia="仿宋_GB2312" w:cs="仿宋_GB2312"/>
                <w:b/>
                <w:bCs/>
                <w:color w:val="auto"/>
                <w:kern w:val="0"/>
                <w:szCs w:val="21"/>
              </w:rPr>
              <w:t>年均值）（微克/立方米）</w:t>
            </w:r>
          </w:p>
        </w:tc>
        <w:tc>
          <w:tcPr>
            <w:tcW w:w="408"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下降比例（%）</w:t>
            </w:r>
          </w:p>
        </w:tc>
        <w:tc>
          <w:tcPr>
            <w:tcW w:w="465"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目  标（微克/立方米）</w:t>
            </w:r>
          </w:p>
        </w:tc>
        <w:tc>
          <w:tcPr>
            <w:tcW w:w="653"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基准值（202</w:t>
            </w:r>
            <w:r>
              <w:rPr>
                <w:rFonts w:hint="eastAsia" w:ascii="仿宋_GB2312" w:hAnsi="仿宋_GB2312" w:eastAsia="仿宋_GB2312" w:cs="仿宋_GB2312"/>
                <w:b/>
                <w:bCs/>
                <w:color w:val="auto"/>
                <w:kern w:val="0"/>
                <w:szCs w:val="21"/>
                <w:lang w:val="en-US" w:eastAsia="zh-CN"/>
              </w:rPr>
              <w:t>1</w:t>
            </w:r>
            <w:r>
              <w:rPr>
                <w:rFonts w:hint="eastAsia" w:ascii="仿宋_GB2312" w:hAnsi="仿宋_GB2312" w:eastAsia="仿宋_GB2312" w:cs="仿宋_GB2312"/>
                <w:b/>
                <w:bCs/>
                <w:color w:val="auto"/>
                <w:kern w:val="0"/>
                <w:szCs w:val="21"/>
              </w:rPr>
              <w:t>年均值）（微克/立方米）</w:t>
            </w:r>
          </w:p>
        </w:tc>
        <w:tc>
          <w:tcPr>
            <w:tcW w:w="442"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下降比例（%）</w:t>
            </w:r>
          </w:p>
        </w:tc>
        <w:tc>
          <w:tcPr>
            <w:tcW w:w="573"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目  标（微克/立方米）</w:t>
            </w:r>
          </w:p>
        </w:tc>
      </w:tr>
      <w:tr>
        <w:tblPrEx>
          <w:tblCellMar>
            <w:top w:w="0" w:type="dxa"/>
            <w:left w:w="108" w:type="dxa"/>
            <w:bottom w:w="0" w:type="dxa"/>
            <w:right w:w="108" w:type="dxa"/>
          </w:tblCellMar>
        </w:tblPrEx>
        <w:trPr>
          <w:trHeight w:val="685" w:hRule="atLeast"/>
          <w:jc w:val="center"/>
        </w:trPr>
        <w:tc>
          <w:tcPr>
            <w:tcW w:w="2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1</w:t>
            </w:r>
          </w:p>
        </w:tc>
        <w:tc>
          <w:tcPr>
            <w:tcW w:w="3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昆区</w:t>
            </w:r>
          </w:p>
        </w:tc>
        <w:tc>
          <w:tcPr>
            <w:tcW w:w="3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202</w:t>
            </w:r>
            <w:r>
              <w:rPr>
                <w:rFonts w:hint="eastAsia" w:ascii="仿宋_GB2312" w:hAnsi="仿宋_GB2312" w:eastAsia="仿宋_GB2312" w:cs="仿宋_GB2312"/>
                <w:bCs/>
                <w:color w:val="auto"/>
                <w:kern w:val="0"/>
                <w:szCs w:val="21"/>
                <w:lang w:val="en-US" w:eastAsia="zh-CN"/>
              </w:rPr>
              <w:t>2</w:t>
            </w:r>
            <w:r>
              <w:rPr>
                <w:rFonts w:hint="eastAsia" w:ascii="仿宋_GB2312" w:hAnsi="仿宋_GB2312" w:eastAsia="仿宋_GB2312" w:cs="仿宋_GB2312"/>
                <w:bCs/>
                <w:color w:val="auto"/>
                <w:kern w:val="0"/>
                <w:szCs w:val="21"/>
              </w:rPr>
              <w:t>年</w:t>
            </w:r>
          </w:p>
        </w:tc>
        <w:tc>
          <w:tcPr>
            <w:tcW w:w="4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6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6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6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44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c>
          <w:tcPr>
            <w:tcW w:w="57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autoSpaceDN/>
              <w:bidi w:val="0"/>
              <w:spacing w:line="560" w:lineRule="exact"/>
              <w:jc w:val="center"/>
              <w:rPr>
                <w:rFonts w:hint="eastAsia" w:ascii="仿宋_GB2312" w:hAnsi="仿宋_GB2312" w:eastAsia="仿宋_GB2312" w:cs="仿宋_GB2312"/>
                <w:bCs/>
                <w:color w:val="auto"/>
                <w:kern w:val="0"/>
                <w:szCs w:val="21"/>
              </w:rPr>
            </w:pPr>
          </w:p>
        </w:tc>
      </w:tr>
    </w:tbl>
    <w:p>
      <w:pPr>
        <w:pStyle w:val="10"/>
        <w:keepNext w:val="0"/>
        <w:keepLines w:val="0"/>
        <w:pageBreakBefore w:val="0"/>
        <w:widowControl/>
        <w:kinsoku/>
        <w:wordWrap/>
        <w:autoSpaceDN/>
        <w:bidi w:val="0"/>
        <w:spacing w:beforeAutospacing="0" w:afterAutospacing="0" w:line="560" w:lineRule="exact"/>
        <w:ind w:left="13760" w:hanging="13760" w:hangingChars="4300"/>
        <w:jc w:val="left"/>
        <w:rPr>
          <w:rFonts w:hint="eastAsia" w:ascii="Times New Roman" w:hAnsi="Times New Roman" w:eastAsia="仿宋_GB2312" w:cs="Times New Roman"/>
          <w:color w:val="auto"/>
          <w:kern w:val="0"/>
          <w:sz w:val="32"/>
          <w:szCs w:val="32"/>
          <w:lang w:val="en-US" w:eastAsia="zh-CN" w:bidi="ar"/>
        </w:rPr>
        <w:sectPr>
          <w:headerReference r:id="rId3" w:type="default"/>
          <w:footerReference r:id="rId4" w:type="default"/>
          <w:footerReference r:id="rId5" w:type="even"/>
          <w:pgSz w:w="16838" w:h="11906" w:orient="landscape"/>
          <w:pgMar w:top="1803" w:right="1440" w:bottom="1803" w:left="1440" w:header="851" w:footer="992" w:gutter="0"/>
          <w:cols w:space="720" w:num="1"/>
          <w:docGrid w:type="lines" w:linePitch="319" w:charSpace="0"/>
        </w:sectPr>
      </w:pPr>
      <w:r>
        <w:rPr>
          <w:rFonts w:hint="eastAsia" w:ascii="Times New Roman" w:hAnsi="Times New Roman" w:eastAsia="仿宋_GB2312" w:cs="Times New Roman"/>
          <w:color w:val="auto"/>
          <w:kern w:val="0"/>
          <w:sz w:val="32"/>
          <w:szCs w:val="32"/>
          <w:lang w:val="en-US" w:eastAsia="zh-CN" w:bidi="ar"/>
        </w:rPr>
        <w:t>备注：按照市级下达目标，完成空气质量改善</w:t>
      </w:r>
      <w:r>
        <w:rPr>
          <w:rFonts w:hint="eastAsia" w:eastAsia="仿宋_GB2312" w:cs="Times New Roman"/>
          <w:color w:val="auto"/>
          <w:kern w:val="0"/>
          <w:sz w:val="32"/>
          <w:szCs w:val="32"/>
          <w:lang w:val="en-US" w:eastAsia="zh-CN" w:bidi="ar"/>
        </w:rPr>
        <w:t xml:space="preserve">任务。                                                                                                                                                                                                                                                                                                                                                                                                                                                                                                                                                                                                                                                                                                                                                                                                                                   </w:t>
      </w: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rPr>
        <w:t>附件</w:t>
      </w:r>
      <w:r>
        <w:rPr>
          <w:rFonts w:hint="eastAsia" w:eastAsia="黑体" w:cs="Times New Roman"/>
          <w:color w:val="auto"/>
          <w:spacing w:val="-2"/>
          <w:sz w:val="32"/>
          <w:szCs w:val="32"/>
          <w:lang w:val="en-US" w:eastAsia="zh-CN"/>
        </w:rPr>
        <w:t>2</w:t>
      </w:r>
      <w:r>
        <w:rPr>
          <w:rFonts w:hint="default" w:ascii="Times New Roman" w:hAnsi="Times New Roman" w:eastAsia="黑体" w:cs="Times New Roman"/>
          <w:color w:val="auto"/>
          <w:spacing w:val="-2"/>
          <w:sz w:val="32"/>
          <w:szCs w:val="32"/>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年大气污染防治攻坚行动重点任务表</w:t>
      </w:r>
    </w:p>
    <w:tbl>
      <w:tblPr>
        <w:tblStyle w:val="11"/>
        <w:tblW w:w="16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16"/>
        <w:gridCol w:w="1067"/>
        <w:gridCol w:w="6950"/>
        <w:gridCol w:w="1633"/>
        <w:gridCol w:w="1117"/>
        <w:gridCol w:w="1398"/>
        <w:gridCol w:w="852"/>
        <w:gridCol w:w="88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序号</w:t>
            </w:r>
          </w:p>
        </w:tc>
        <w:tc>
          <w:tcPr>
            <w:tcW w:w="81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类别</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重点工作</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具体工作任务</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责任单位</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责任人</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完成时限</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1</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布局</w:t>
            </w: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布局</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b/>
                <w:bCs/>
                <w:color w:val="auto"/>
                <w:spacing w:val="-2"/>
                <w:sz w:val="21"/>
                <w:szCs w:val="21"/>
              </w:rPr>
            </w:pPr>
            <w:r>
              <w:rPr>
                <w:rFonts w:hint="default" w:ascii="Times New Roman" w:hAnsi="Times New Roman" w:eastAsia="宋体" w:cs="Times New Roman"/>
                <w:color w:val="auto"/>
                <w:spacing w:val="-2"/>
                <w:sz w:val="18"/>
                <w:szCs w:val="18"/>
                <w:lang w:val="en-US" w:eastAsia="zh-CN"/>
              </w:rPr>
              <w:t>落实产业规划、产业政策等相关工作。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产能置换等方面工作</w:t>
            </w:r>
            <w:r>
              <w:rPr>
                <w:rFonts w:hint="eastAsia" w:cs="Times New Roman"/>
                <w:color w:val="auto"/>
                <w:spacing w:val="-2"/>
                <w:sz w:val="18"/>
                <w:szCs w:val="18"/>
                <w:lang w:val="en-US" w:eastAsia="zh-CN"/>
              </w:rPr>
              <w:t>，</w:t>
            </w:r>
            <w:r>
              <w:rPr>
                <w:rFonts w:hint="default" w:ascii="Times New Roman" w:hAnsi="Times New Roman" w:cs="Times New Roman"/>
                <w:color w:val="auto"/>
                <w:spacing w:val="-2"/>
                <w:sz w:val="18"/>
                <w:szCs w:val="18"/>
                <w:lang w:val="en-US" w:eastAsia="zh-CN"/>
              </w:rPr>
              <w:t>推动大安钢铁、吉宇钢铁前期搬迁准备工作；开展昆河以西淘汰落后产能，推进企业入园。</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推动</w:t>
            </w:r>
            <w:r>
              <w:rPr>
                <w:rFonts w:hint="default" w:ascii="Times New Roman" w:hAnsi="Times New Roman" w:cs="Times New Roman"/>
                <w:color w:val="auto"/>
                <w:spacing w:val="-2"/>
                <w:sz w:val="18"/>
                <w:szCs w:val="18"/>
                <w:lang w:val="en-US" w:eastAsia="zh-CN"/>
              </w:rPr>
              <w:t>飞达稀土分离线升级改造工程，落实</w:t>
            </w:r>
            <w:r>
              <w:rPr>
                <w:rFonts w:hint="default" w:ascii="Times New Roman" w:hAnsi="Times New Roman" w:cs="Times New Roman"/>
                <w:color w:val="auto"/>
                <w:spacing w:val="-2"/>
                <w:sz w:val="18"/>
                <w:szCs w:val="18"/>
                <w:lang w:eastAsia="zh-CN"/>
              </w:rPr>
              <w:t>园区</w:t>
            </w:r>
            <w:r>
              <w:rPr>
                <w:rFonts w:hint="default" w:ascii="Times New Roman" w:hAnsi="Times New Roman" w:cs="Times New Roman"/>
                <w:color w:val="auto"/>
                <w:spacing w:val="-2"/>
                <w:sz w:val="18"/>
                <w:szCs w:val="18"/>
                <w:lang w:val="en-US" w:eastAsia="zh-CN"/>
              </w:rPr>
              <w:t>规划环评。</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金属深加工园区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管委会</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王永茂</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落实</w:t>
            </w:r>
            <w:r>
              <w:rPr>
                <w:rFonts w:hint="default" w:ascii="Times New Roman" w:hAnsi="Times New Roman" w:cs="Times New Roman"/>
                <w:color w:val="auto"/>
                <w:spacing w:val="-2"/>
                <w:sz w:val="18"/>
                <w:szCs w:val="18"/>
                <w:lang w:val="en-US" w:eastAsia="zh-CN"/>
              </w:rPr>
              <w:t>三区三线</w:t>
            </w:r>
            <w:r>
              <w:rPr>
                <w:rFonts w:hint="default" w:ascii="Times New Roman" w:hAnsi="Times New Roman" w:cs="Times New Roman"/>
                <w:color w:val="auto"/>
                <w:spacing w:val="-2"/>
                <w:sz w:val="18"/>
                <w:szCs w:val="18"/>
                <w:lang w:eastAsia="zh-CN"/>
              </w:rPr>
              <w:t>工作要求。</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区自然资源分局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配合市级部门落实</w:t>
            </w:r>
            <w:r>
              <w:rPr>
                <w:rFonts w:hint="default" w:ascii="Times New Roman" w:hAnsi="Times New Roman" w:cs="Times New Roman"/>
                <w:color w:val="auto"/>
                <w:spacing w:val="-2"/>
                <w:sz w:val="18"/>
                <w:szCs w:val="18"/>
                <w:lang w:val="en-US" w:eastAsia="zh-CN"/>
              </w:rPr>
              <w:t>“三线一单”、减量替代要求。</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产业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严控高耗能行业产能规模，加快传统产业优化升级，大力发展战略</w:t>
            </w:r>
            <w:r>
              <w:rPr>
                <w:rFonts w:hint="default" w:ascii="Times New Roman" w:hAnsi="Times New Roman" w:cs="Times New Roman"/>
                <w:color w:val="auto"/>
                <w:spacing w:val="-2"/>
                <w:sz w:val="18"/>
                <w:szCs w:val="18"/>
                <w:lang w:eastAsia="zh-CN"/>
              </w:rPr>
              <w:t>性</w:t>
            </w:r>
            <w:r>
              <w:rPr>
                <w:rFonts w:hint="default" w:ascii="Times New Roman" w:hAnsi="Times New Roman" w:cs="Times New Roman"/>
                <w:color w:val="auto"/>
                <w:spacing w:val="-2"/>
                <w:sz w:val="18"/>
                <w:szCs w:val="18"/>
                <w:lang w:val="en-US" w:eastAsia="zh-CN"/>
              </w:rPr>
              <w:t>新兴产业，组织开展强制性清洁生产审核工作。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区发改委</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lang w:val="en-US" w:eastAsia="zh-CN"/>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组织开展自愿性清洁生产审核。</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实施能源消费双控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严格落实能耗总量和强度“双控”工作要求，推进实施各领域节能工程。</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工业节能降耗有关工作</w:t>
            </w:r>
            <w:r>
              <w:rPr>
                <w:rFonts w:hint="default" w:ascii="Times New Roman" w:hAnsi="Times New Roman" w:cs="Times New Roman"/>
                <w:color w:val="auto"/>
                <w:spacing w:val="-2"/>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严格高耗能审批。</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徐永昕</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1</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散煤</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替代和原煤</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管控</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加速推进清洁采暖</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巩固燃煤散烧整治成果，按照</w:t>
            </w:r>
            <w:r>
              <w:rPr>
                <w:rFonts w:hint="default" w:ascii="Times New Roman" w:hAnsi="Times New Roman" w:cs="Times New Roman"/>
                <w:color w:val="auto"/>
                <w:spacing w:val="-2"/>
                <w:sz w:val="18"/>
                <w:szCs w:val="18"/>
                <w:lang w:eastAsia="zh-CN"/>
              </w:rPr>
              <w:t>市住建局《关于调整我市清洁取暖改造工作</w:t>
            </w:r>
            <w:r>
              <w:rPr>
                <w:rFonts w:hint="default" w:ascii="Times New Roman" w:hAnsi="Times New Roman" w:cs="Times New Roman"/>
                <w:color w:val="auto"/>
                <w:spacing w:val="-2"/>
                <w:sz w:val="18"/>
                <w:szCs w:val="18"/>
                <w:lang w:val="en-US" w:eastAsia="zh-CN"/>
              </w:rPr>
              <w:t>2022年度任务的通知</w:t>
            </w:r>
            <w:r>
              <w:rPr>
                <w:rFonts w:hint="default" w:ascii="Times New Roman" w:hAnsi="Times New Roman" w:cs="Times New Roman"/>
                <w:color w:val="auto"/>
                <w:spacing w:val="-2"/>
                <w:sz w:val="18"/>
                <w:szCs w:val="18"/>
                <w:lang w:eastAsia="zh-CN"/>
              </w:rPr>
              <w:t>》要求</w:t>
            </w:r>
            <w:r>
              <w:rPr>
                <w:rFonts w:hint="default" w:ascii="Times New Roman" w:hAnsi="Times New Roman" w:cs="Times New Roman"/>
                <w:color w:val="auto"/>
                <w:spacing w:val="-2"/>
                <w:sz w:val="18"/>
                <w:szCs w:val="18"/>
                <w:lang w:val="en-US" w:eastAsia="zh-CN"/>
              </w:rPr>
              <w:t>，完成16535户、152万平方米居民改造任务，清洁取暖率达到100%。完善散煤禁售、禁运、禁燃的常态化管控机制，城市建成区散煤实现基本清零。</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区住建局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区发改委、区市场局、区商务局、区卫健委、区综合执法局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周海飞</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韦宏宇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凤</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巩固燃煤锅炉、窑炉整治成效。</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组织开展工业燃煤锅炉和窑炉整治“回头看”专项行动，巩固燃煤锅炉及窑炉整治成效</w:t>
            </w:r>
            <w:r>
              <w:rPr>
                <w:rFonts w:hint="default" w:ascii="Times New Roman" w:hAnsi="Times New Roman" w:cs="Times New Roman"/>
                <w:color w:val="auto"/>
                <w:sz w:val="18"/>
                <w:szCs w:val="18"/>
                <w:lang w:eastAsia="zh-CN"/>
              </w:rPr>
              <w:t>,杜绝新增使用燃煤锅炉。</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交通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运输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优化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交通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运输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结构</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加快“公转铁”建设</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加强铁路专用线和联运连转衔接设施建设，既有线路最大程度发挥效能，</w:t>
            </w:r>
            <w:r>
              <w:rPr>
                <w:rFonts w:hint="default" w:ascii="Times New Roman" w:hAnsi="Times New Roman" w:cs="Times New Roman"/>
                <w:color w:val="auto"/>
                <w:sz w:val="18"/>
                <w:szCs w:val="18"/>
                <w:lang w:eastAsia="zh-CN"/>
              </w:rPr>
              <w:t>积极发挥新奥蒙华、铁捷物流等</w:t>
            </w:r>
            <w:r>
              <w:rPr>
                <w:rFonts w:hint="default" w:ascii="Times New Roman" w:hAnsi="Times New Roman" w:cs="Times New Roman"/>
                <w:color w:val="auto"/>
                <w:sz w:val="18"/>
                <w:szCs w:val="18"/>
                <w:lang w:val="en-US" w:eastAsia="zh-CN"/>
              </w:rPr>
              <w:t>配套建成铁路专用线作用，推动企业大宗物料改用铁路运输，落实“公转铁”货运增量要求，</w:t>
            </w:r>
            <w:r>
              <w:rPr>
                <w:rFonts w:hint="default" w:ascii="Times New Roman" w:hAnsi="Times New Roman" w:cs="Times New Roman"/>
                <w:color w:val="auto"/>
                <w:sz w:val="18"/>
                <w:szCs w:val="18"/>
                <w:lang w:eastAsia="zh-CN"/>
              </w:rPr>
              <w:t>大力推进包头大宗矿产品B型保税物流园铁路专用线及其西北地区交易中心项目建设</w:t>
            </w:r>
            <w:r>
              <w:rPr>
                <w:rFonts w:hint="default" w:ascii="Times New Roman" w:hAnsi="Times New Roman" w:cs="Times New Roman"/>
                <w:color w:val="auto"/>
                <w:sz w:val="18"/>
                <w:szCs w:val="18"/>
                <w:lang w:val="en-US"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区发改委</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周海飞</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推进煤炭运输“散改集+新能源”</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统筹煤炭运输“散改集+新能源”工作，编制工作方案，推进配套基础设施建设</w:t>
            </w:r>
            <w:r>
              <w:rPr>
                <w:rFonts w:hint="default" w:ascii="Times New Roman" w:hAnsi="Times New Roman" w:cs="Times New Roman"/>
                <w:color w:val="auto"/>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区机关事务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服务中心</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张永军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协助争取上级关于新能源的相关政策落实。</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配合上级部门制定路权法规方面支持政策，落实运煤车辆管控措施。</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区交管大队</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姬宪碧</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0</w:t>
            </w:r>
            <w:r>
              <w:rPr>
                <w:rFonts w:hint="default" w:ascii="Times New Roman" w:hAnsi="Times New Roman" w:cs="Times New Roman"/>
                <w:color w:val="auto"/>
                <w:spacing w:val="-2"/>
                <w:sz w:val="18"/>
                <w:szCs w:val="18"/>
              </w:rPr>
              <w:t>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推行车辆绿色能源化</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推进建成区新增和更新的公务用车采用新能源或清洁能源汽车，协调建设充（换）电站和充电桩。</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区机关事务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服务中心</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张永军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推进建成区物流配送车辆采用新能源或清洁能源汽车。</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w:t>
            </w:r>
            <w:r>
              <w:rPr>
                <w:rFonts w:hint="default" w:ascii="Times New Roman" w:hAnsi="Times New Roman" w:cs="Times New Roman"/>
                <w:color w:val="auto"/>
                <w:sz w:val="18"/>
                <w:szCs w:val="18"/>
                <w:lang w:eastAsia="zh-CN"/>
              </w:rPr>
              <w:t>商务局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韦宏宇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加快推进建成区轻型环卫车辆采用新能源或清洁能源汽车。</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严控移动源污染</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按照包头市</w:t>
            </w:r>
            <w:r>
              <w:rPr>
                <w:rFonts w:hint="default" w:ascii="Times New Roman" w:hAnsi="Times New Roman" w:cs="Times New Roman"/>
                <w:color w:val="auto"/>
                <w:sz w:val="18"/>
                <w:szCs w:val="18"/>
                <w:lang w:val="en-US" w:eastAsia="zh-CN"/>
              </w:rPr>
              <w:t>高污染车辆禁行区的管控</w:t>
            </w:r>
            <w:r>
              <w:rPr>
                <w:rFonts w:hint="default" w:ascii="Times New Roman" w:hAnsi="Times New Roman" w:cs="Times New Roman"/>
                <w:color w:val="auto"/>
                <w:sz w:val="18"/>
                <w:szCs w:val="18"/>
                <w:lang w:eastAsia="zh-CN"/>
              </w:rPr>
              <w:t>方案</w:t>
            </w:r>
            <w:r>
              <w:rPr>
                <w:rFonts w:hint="default" w:ascii="Times New Roman" w:hAnsi="Times New Roman" w:cs="Times New Roman"/>
                <w:color w:val="auto"/>
                <w:sz w:val="18"/>
                <w:szCs w:val="18"/>
                <w:lang w:val="en-US" w:eastAsia="zh-CN"/>
              </w:rPr>
              <w:t>，强化监控执法措施，严查排放不合格车辆。</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区交管大队</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姬宪碧</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配合上级部门积极推进具备条件的重型柴油车安装精确定位系统和远程在线监控并与生态部门联网，禁止排放不合格的车辆进场。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组织商务、公安、交管、应急、各街镇开展清理取缔无证无照经营的黑加油站点、流动加油罐车专项行动。</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区市场局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完善非道路移动机械排污监管</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具备条件的非道路移动机械安装精确定位系统和远程在线监控并与生态环境部门联网，禁止排放不合格、无牌无码的非道路移动机械进场。开展重点工业企业非道路移动机械排放监督检查，组织抽检抽测。强化非道路移动机械排放控制区管控，严控排放不合格机械，基本消除工程机械冒黑烟现象。按照《昆都仑区非道路移动机械超标排放治理工作方案》（昆府办发〔2020〕17号）中职责分工执行。</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区生态环境分局、区住建局、区农牧局、区综合执法局、区交通运输综合行政执法大队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郭</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涛</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24</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宋体" w:cs="Times New Roman"/>
                <w:color w:val="auto"/>
                <w:spacing w:val="-2"/>
                <w:sz w:val="18"/>
                <w:szCs w:val="18"/>
                <w:lang w:eastAsia="zh-CN"/>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加快钢铁行业超低排放改造进度</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督导包钢（集团）公司持续开展烧结、球团烟气超低排放改造，12月底前完成金属制造公司1号烧结机超低排放改造、包钢炼铁厂3#烧结机机头烟气超低排放改造等5个超低排放改造项目。</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区生态环境分局、包钢（集团）公司</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加速重点行业升级改造。强化工业园区重点企业固定源及无组织排放改造</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工作</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快推动工业园区内重点工业企业深度治理工程，完成包头市大安钢铁有限公司烧结厂石灰窑窑顶除尘环保改造、包头市红天宇稀土磁材有限公司烟气治理和包头华美稀土高科有限公司焙烧工段净化系统升级改造项目。开展铁合金行业无组织排放治理，完成包头市北鹿铸造材料有限责任公司等8家铁合金企业34台中频电炉无组织排放升级改造。</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r>
              <w:rPr>
                <w:rFonts w:hint="default" w:ascii="Times New Roman" w:hAnsi="Times New Roman" w:cs="Times New Roman"/>
                <w:color w:val="auto"/>
                <w:sz w:val="18"/>
                <w:szCs w:val="18"/>
              </w:rPr>
              <w:t>各有关企业</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推进挥发性有机物和氮氧化物源头</w:t>
            </w:r>
          </w:p>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控制</w:t>
            </w: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严格控制生产和使用高VOCs含量涂料、油墨、胶粘剂、清洗剂等建设项目，开展挥发性有机物源头替代工作。</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配合市级部门组织开展含VOCs原辅材料专项检查。</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区市场局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王金芬</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w:t>
            </w:r>
            <w:r>
              <w:rPr>
                <w:rFonts w:hint="default" w:ascii="Times New Roman" w:hAnsi="Times New Roman" w:cs="Times New Roman"/>
                <w:color w:val="auto"/>
                <w:sz w:val="18"/>
                <w:szCs w:val="18"/>
                <w:lang w:eastAsia="zh-CN"/>
              </w:rPr>
              <w:t>工业企业实施</w:t>
            </w:r>
            <w:r>
              <w:rPr>
                <w:rFonts w:hint="default" w:ascii="Times New Roman" w:hAnsi="Times New Roman" w:cs="Times New Roman"/>
                <w:color w:val="auto"/>
                <w:sz w:val="18"/>
                <w:szCs w:val="18"/>
                <w:lang w:val="en-US" w:eastAsia="zh-CN"/>
              </w:rPr>
              <w:t>燃气设施低氮改造</w:t>
            </w:r>
            <w:r>
              <w:rPr>
                <w:rFonts w:hint="default" w:ascii="Times New Roman" w:hAnsi="Times New Roman" w:cs="Times New Roman"/>
                <w:color w:val="auto"/>
                <w:sz w:val="18"/>
                <w:szCs w:val="18"/>
                <w:lang w:eastAsia="zh-CN"/>
              </w:rPr>
              <w:t>及</w:t>
            </w:r>
            <w:r>
              <w:rPr>
                <w:rFonts w:hint="default" w:ascii="Times New Roman" w:hAnsi="Times New Roman" w:cs="Times New Roman"/>
                <w:color w:val="auto"/>
                <w:sz w:val="18"/>
                <w:szCs w:val="18"/>
                <w:lang w:val="en-US" w:eastAsia="zh-CN"/>
              </w:rPr>
              <w:t>氨逃逸防控。</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强化挥发性有机物排放治理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督导挥发性有机物无组织排放排查整治、重点行业挥发性有机物治理、非正常工况废气排放控制</w:t>
            </w:r>
            <w:r>
              <w:rPr>
                <w:rFonts w:hint="default" w:ascii="Times New Roman" w:hAnsi="Times New Roman" w:cs="Times New Roman"/>
                <w:color w:val="auto"/>
                <w:sz w:val="18"/>
                <w:szCs w:val="18"/>
                <w:lang w:eastAsia="zh-CN"/>
              </w:rPr>
              <w:t>。</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推进市政工程、道路施工中涉VOCs排放的防腐涂装、沥青铺设、外立面改造等错时施工管控。</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引导化工等行业企业合理安排生产计划。</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r>
              <w:rPr>
                <w:rFonts w:hint="default" w:ascii="Times New Roman" w:hAnsi="Times New Roman" w:cs="Times New Roman"/>
                <w:b w:val="0"/>
                <w:bCs w:val="0"/>
                <w:color w:val="auto"/>
                <w:sz w:val="18"/>
                <w:szCs w:val="18"/>
                <w:lang w:val="en-US" w:eastAsia="zh-CN"/>
              </w:rPr>
              <w:t>实施涉挥发性有机物行业集中整治</w:t>
            </w: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按照市级要求推广</w:t>
            </w:r>
            <w:r>
              <w:rPr>
                <w:rFonts w:hint="default" w:ascii="Times New Roman" w:hAnsi="Times New Roman" w:cs="Times New Roman"/>
                <w:color w:val="auto"/>
                <w:sz w:val="18"/>
                <w:szCs w:val="18"/>
                <w:lang w:val="en-US" w:eastAsia="zh-CN"/>
              </w:rPr>
              <w:t>建设家具制造类企业、汽车维修企业集中收集处置中心。</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区工信局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李红宇</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33</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督导各类集中处置中心配套建设适宜高效的VOCs治理设施。</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区生态环境分局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王金芬</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督导加油站、储油库油气回收治理和监管。</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区商务局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韦宏宇</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配合市主管部门对油罐车油气回收治理和监管。</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区交管大队</w:t>
            </w:r>
          </w:p>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河西交管大队</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赵永斌</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姬宪碧</w:t>
            </w:r>
          </w:p>
        </w:tc>
        <w:tc>
          <w:tcPr>
            <w:tcW w:w="1398"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Cs/>
                <w:color w:val="auto"/>
                <w:sz w:val="18"/>
                <w:szCs w:val="18"/>
              </w:rPr>
            </w:pPr>
          </w:p>
        </w:tc>
        <w:tc>
          <w:tcPr>
            <w:tcW w:w="1067" w:type="dxa"/>
            <w:vMerge w:val="continue"/>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b/>
                <w:bCs/>
                <w:color w:val="auto"/>
                <w:sz w:val="18"/>
                <w:szCs w:val="18"/>
              </w:rPr>
            </w:pPr>
          </w:p>
        </w:tc>
        <w:tc>
          <w:tcPr>
            <w:tcW w:w="6950" w:type="dxa"/>
            <w:noWrap w:val="0"/>
            <w:vAlign w:val="center"/>
          </w:tcPr>
          <w:p>
            <w:pPr>
              <w:keepNext w:val="0"/>
              <w:keepLines w:val="0"/>
              <w:pageBreakBefore w:val="0"/>
              <w:widowControl/>
              <w:kinsoku/>
              <w:wordWrap/>
              <w:autoSpaceDN/>
              <w:bidi w:val="0"/>
              <w:spacing w:line="560" w:lineRule="exact"/>
              <w:jc w:val="lef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督促取得《食品经营许可证》的沿街餐饮底店安装油烟净化设施并定期开展维护、检修。</w:t>
            </w:r>
          </w:p>
        </w:tc>
        <w:tc>
          <w:tcPr>
            <w:tcW w:w="1633" w:type="dxa"/>
            <w:noWrap w:val="0"/>
            <w:vAlign w:val="center"/>
          </w:tcPr>
          <w:p>
            <w:pPr>
              <w:keepNext w:val="0"/>
              <w:keepLines w:val="0"/>
              <w:pageBreakBefore w:val="0"/>
              <w:widowControl/>
              <w:kinsoku/>
              <w:wordWrap/>
              <w:autoSpaceDN/>
              <w:bidi w:val="0"/>
              <w:spacing w:line="560" w:lineRule="exact"/>
              <w:jc w:val="center"/>
              <w:textAlignment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lang w:val="en-US" w:eastAsia="zh-CN"/>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37</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扬尘</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管控</w:t>
            </w: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强化施工工地扬尘管控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施工扬尘监管执法，对建筑工地实行动态清单化管理，压实企业主体责任，鼓励推进装配式建筑发展。建筑工地严格落实工地周边围挡、物料（渣土）堆放覆盖、土方开挖湿法作业、路面硬化、出入车辆清洗、渣土车辆密闭运输“六个百分百”扬尘污染防控措施，对未落实防控措施的工地列入征信“黑名单”。各类市政、公路、管网建设等线性工程实行分段施工，并同步落实好扬尘防控措施。将防治扬尘污染费用纳入工程造价。</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加强拆迁工地、裸露渣土堆等扬尘治理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统筹拆迁工地、裸露渣土堆、裸露土地扬尘污染防治。</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长期未开发的建设裸地扬尘防治。</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管辖范围内拆迁工地、渣土堆、裸露土地扬尘污染治理，对不被利用的裸露土地及时开展绿化和硬化。杜绝输入性废弃渣土倾倒，做好所辖区域内全市下达的20个扬尘点周边管控工作，确保点位达标。</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金属深加工园区管委会</w:t>
            </w:r>
            <w:r>
              <w:rPr>
                <w:rFonts w:hint="eastAsia" w:cs="Times New Roman"/>
                <w:color w:val="auto"/>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王永茂</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加强道路扬尘污染治理</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加大对车流量较大重要路段冲洗保洁频次，推进吸尘式机械化湿式清扫作业，提升城市道路清扫保洁水平，按照已制定出台的道路扬尘治理工作实施方案，春夏秋季建成区主次干道</w:t>
            </w:r>
            <w:r>
              <w:rPr>
                <w:rFonts w:hint="default" w:ascii="Times New Roman" w:hAnsi="Times New Roman" w:cs="Times New Roman"/>
                <w:color w:val="auto"/>
                <w:spacing w:val="-2"/>
                <w:sz w:val="18"/>
                <w:szCs w:val="18"/>
                <w:lang w:eastAsia="zh-CN"/>
              </w:rPr>
              <w:t>结合天气状况，对</w:t>
            </w:r>
            <w:r>
              <w:rPr>
                <w:rFonts w:hint="default" w:ascii="Times New Roman" w:hAnsi="Times New Roman" w:cs="Times New Roman"/>
                <w:color w:val="auto"/>
                <w:spacing w:val="-2"/>
                <w:sz w:val="18"/>
                <w:szCs w:val="18"/>
                <w:lang w:val="en-US" w:eastAsia="zh-CN"/>
              </w:rPr>
              <w:t>重点区域、重点时段</w:t>
            </w:r>
            <w:r>
              <w:rPr>
                <w:rFonts w:hint="default" w:ascii="Times New Roman" w:hAnsi="Times New Roman" w:cs="Times New Roman"/>
                <w:color w:val="auto"/>
                <w:spacing w:val="-2"/>
                <w:sz w:val="18"/>
                <w:szCs w:val="18"/>
                <w:lang w:eastAsia="zh-CN"/>
              </w:rPr>
              <w:t>按照市级要求，</w:t>
            </w:r>
            <w:r>
              <w:rPr>
                <w:rFonts w:hint="default" w:ascii="Times New Roman" w:hAnsi="Times New Roman" w:cs="Times New Roman"/>
                <w:color w:val="auto"/>
                <w:spacing w:val="-2"/>
                <w:sz w:val="18"/>
                <w:szCs w:val="18"/>
                <w:lang w:val="en-US" w:eastAsia="zh-CN"/>
              </w:rPr>
              <w:t>视情况增加洒水频次，年底前建成区道路机械化清扫率达到80%以上。加大110国道（民族东路—昆河桥）（昆河桥—九原界）机动车道、便道的日常保洁、洒水降尘及道路运输执法检查工作。强化道路执法检查，督促建筑垃圾运输车辆和散状物料运输车辆落实苫盖、密闭及空车清理清洗等防护措施，严厉打击运输车辆带泥上路、运输途中物料遗撒、滴漏、扬散等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42</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推进矿山综合整治</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新建矿山按照绿色矿山标准规划、设计、建设和运营管理。对限期整改仍不达标矿山，上报市局列入异常名录。合法合规矿山要加快绿色化升级改造，实现施工低尘化、加工密闭化</w:t>
            </w:r>
            <w:r>
              <w:rPr>
                <w:rFonts w:hint="eastAsia" w:cs="Times New Roman"/>
                <w:color w:val="auto"/>
                <w:spacing w:val="-2"/>
                <w:sz w:val="18"/>
                <w:szCs w:val="18"/>
                <w:lang w:val="en-US" w:eastAsia="zh-CN"/>
              </w:rPr>
              <w:t>、</w:t>
            </w:r>
            <w:r>
              <w:rPr>
                <w:rFonts w:hint="default" w:ascii="Times New Roman" w:hAnsi="Times New Roman" w:cs="Times New Roman"/>
                <w:color w:val="auto"/>
                <w:spacing w:val="-2"/>
                <w:sz w:val="18"/>
                <w:szCs w:val="18"/>
                <w:lang w:val="en-US" w:eastAsia="zh-CN"/>
              </w:rPr>
              <w:t>运输清洁化。12月底前建成绿色矿山1个。</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区自然资源分局</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43</w:t>
            </w:r>
          </w:p>
        </w:tc>
        <w:tc>
          <w:tcPr>
            <w:tcW w:w="81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提升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城市</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精细化管理</w:t>
            </w: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加强烟花爆竹禁放管控</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依法查处违规燃放烟花爆竹的行为，牵头落实烟花爆竹收缴销毁事宜，重点管控时段组织派出所民警开展巡防巡查。</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区公安分局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冯</w:t>
            </w:r>
            <w:r>
              <w:rPr>
                <w:rFonts w:hint="eastAsia"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rPr>
              <w:t>伟</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44</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不再向禁燃区发放烟花爆竹经营许可证。</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区行政审批和政务服务局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45</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查处堆燃旺火行为。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46</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严格落实属地管理职能，通过张贴公告、发放宣传单等方式开展本辖区禁止燃放烟花爆竹、禁止堆燃旺火宣传工作，加大辖区日常管控工作。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各街镇行政主要领导</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47</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加大露天禁烧工作力度</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查处垃圾、落叶等露天焚烧行为。</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区综合执法局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48</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农作物秸秆收储和综合利用工作，研究制定秸秆禁烧奖惩管理办法。</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区农牧局</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202</w:t>
            </w:r>
            <w:r>
              <w:rPr>
                <w:rFonts w:hint="default" w:ascii="Times New Roman" w:hAnsi="Times New Roman" w:cs="Times New Roman"/>
                <w:color w:val="auto"/>
                <w:sz w:val="18"/>
                <w:szCs w:val="18"/>
                <w:lang w:eastAsia="zh-CN"/>
              </w:rPr>
              <w:t>2</w:t>
            </w:r>
            <w:r>
              <w:rPr>
                <w:rFonts w:hint="default" w:ascii="Times New Roman" w:hAnsi="Times New Roman" w:cs="Times New Roman"/>
                <w:color w:val="auto"/>
                <w:sz w:val="18"/>
                <w:szCs w:val="18"/>
                <w:lang w:val="en-US" w:eastAsia="zh-CN"/>
              </w:rPr>
              <w:t>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49</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严查严控辖区内秸秆、垃圾、落叶等露天焚烧行为，提高秸秆综合利用率。</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cs="Times New Roman"/>
                <w:color w:val="auto"/>
                <w:sz w:val="18"/>
                <w:szCs w:val="18"/>
              </w:rPr>
              <w:t>各街镇</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rPr>
              <w:t>各街镇行政主要领导</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50</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切实做好重污染天气应对</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照市级方案，持续更新重污染天气应急减排清单及相应管控措施，切实做好精准减排。开展重污染天气重点行业企业绩效分级评估工作，推进绩效分级差异化管控，12月底前完成重污染天气重点行业企业绩效分级评估工作，全面提升大气污染防治水平和精细化管理水平。区重污染天气应对成员单位按照《昆区重污染天气应急预案（2020年修订）》职责分工做好各项应对工作。</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区生态环境分局、区重污染天气应对成员单位</w:t>
            </w: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2022年12月底</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51</w:t>
            </w:r>
          </w:p>
        </w:tc>
        <w:tc>
          <w:tcPr>
            <w:tcW w:w="81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6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强化能力建设</w:t>
            </w:r>
          </w:p>
        </w:tc>
        <w:tc>
          <w:tcPr>
            <w:tcW w:w="6950"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结合</w:t>
            </w:r>
            <w:r>
              <w:rPr>
                <w:rFonts w:hint="default" w:ascii="Times New Roman" w:hAnsi="Times New Roman" w:cs="Times New Roman"/>
                <w:color w:val="auto"/>
                <w:spacing w:val="-2"/>
                <w:sz w:val="18"/>
                <w:szCs w:val="18"/>
                <w:lang w:eastAsia="zh-CN"/>
              </w:rPr>
              <w:t>昆区</w:t>
            </w:r>
            <w:r>
              <w:rPr>
                <w:rFonts w:hint="default" w:ascii="Times New Roman" w:hAnsi="Times New Roman" w:cs="Times New Roman"/>
                <w:color w:val="auto"/>
                <w:spacing w:val="-2"/>
                <w:sz w:val="18"/>
                <w:szCs w:val="18"/>
                <w:lang w:val="en-US" w:eastAsia="zh-CN"/>
              </w:rPr>
              <w:t>大气污染特点和环境空气质量改善任务要求，</w:t>
            </w:r>
            <w:r>
              <w:rPr>
                <w:rFonts w:hint="default" w:ascii="Times New Roman" w:hAnsi="Times New Roman" w:cs="Times New Roman"/>
                <w:color w:val="auto"/>
                <w:spacing w:val="-2"/>
                <w:sz w:val="18"/>
                <w:szCs w:val="18"/>
                <w:lang w:eastAsia="zh-CN"/>
              </w:rPr>
              <w:t>生态、园区、各街镇应将生态环境监督管理能力建设纳入年度计划，</w:t>
            </w:r>
            <w:r>
              <w:rPr>
                <w:rFonts w:hint="default" w:ascii="Times New Roman" w:hAnsi="Times New Roman" w:cs="Times New Roman"/>
                <w:color w:val="auto"/>
                <w:spacing w:val="-2"/>
                <w:sz w:val="18"/>
                <w:szCs w:val="18"/>
                <w:lang w:val="en-US" w:eastAsia="zh-CN"/>
              </w:rPr>
              <w:t>运用网格化监测、移动走航、激光雷达扫描等</w:t>
            </w:r>
            <w:r>
              <w:rPr>
                <w:rFonts w:hint="default" w:ascii="Times New Roman" w:hAnsi="Times New Roman" w:cs="Times New Roman"/>
                <w:color w:val="auto"/>
                <w:spacing w:val="-2"/>
                <w:sz w:val="18"/>
                <w:szCs w:val="18"/>
                <w:lang w:eastAsia="zh-CN"/>
              </w:rPr>
              <w:t>多种手段</w:t>
            </w:r>
            <w:r>
              <w:rPr>
                <w:rFonts w:hint="default" w:ascii="Times New Roman" w:hAnsi="Times New Roman" w:cs="Times New Roman"/>
                <w:color w:val="auto"/>
                <w:spacing w:val="-2"/>
                <w:sz w:val="18"/>
                <w:szCs w:val="18"/>
                <w:lang w:val="en-US" w:eastAsia="zh-CN"/>
              </w:rPr>
              <w:t>，强化污染物精准溯源、针对性治理。财政部门应拨出专项资金购置移动走航监测、激光雷达扫描、园区空气质量监测、挥发性有机物监测等设备、服务，提升科学、精准、依法治污水平。</w:t>
            </w:r>
          </w:p>
        </w:tc>
        <w:tc>
          <w:tcPr>
            <w:tcW w:w="163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r>
              <w:rPr>
                <w:rFonts w:hint="default" w:ascii="Times New Roman" w:hAnsi="Times New Roman" w:cs="Times New Roman"/>
                <w:color w:val="auto"/>
                <w:sz w:val="18"/>
                <w:szCs w:val="18"/>
                <w:lang w:eastAsia="zh-CN"/>
              </w:rPr>
              <w:t>区财政局、金属深加工园区管委会、各街镇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p>
        </w:tc>
        <w:tc>
          <w:tcPr>
            <w:tcW w:w="1117"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波</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w:t>
            </w:r>
          </w:p>
        </w:tc>
        <w:tc>
          <w:tcPr>
            <w:tcW w:w="139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85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83"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9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昆区202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年考核断面水质目标清单</w:t>
      </w:r>
    </w:p>
    <w:tbl>
      <w:tblPr>
        <w:tblStyle w:val="11"/>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2"/>
        <w:gridCol w:w="1505"/>
        <w:gridCol w:w="1859"/>
        <w:gridCol w:w="1721"/>
        <w:gridCol w:w="1657"/>
        <w:gridCol w:w="2278"/>
        <w:gridCol w:w="232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142"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序号</w:t>
            </w:r>
          </w:p>
        </w:tc>
        <w:tc>
          <w:tcPr>
            <w:tcW w:w="150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地市</w:t>
            </w:r>
          </w:p>
        </w:tc>
        <w:tc>
          <w:tcPr>
            <w:tcW w:w="185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断面所在区县</w:t>
            </w:r>
          </w:p>
        </w:tc>
        <w:tc>
          <w:tcPr>
            <w:tcW w:w="1721"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所属流域</w:t>
            </w:r>
          </w:p>
        </w:tc>
        <w:tc>
          <w:tcPr>
            <w:tcW w:w="1657"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所在水体名称</w:t>
            </w:r>
          </w:p>
        </w:tc>
        <w:tc>
          <w:tcPr>
            <w:tcW w:w="2278"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断面名称</w:t>
            </w:r>
          </w:p>
        </w:tc>
        <w:tc>
          <w:tcPr>
            <w:tcW w:w="2326"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2021-2023年目标</w:t>
            </w:r>
          </w:p>
        </w:tc>
        <w:tc>
          <w:tcPr>
            <w:tcW w:w="198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涉及区旗县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142"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50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85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721"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657"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2278"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2326"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98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4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50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88" w:leftChars="-42" w:right="-86" w:rightChars="-41"/>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85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65" w:leftChars="-31" w:right="-73" w:rightChars="-35"/>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九原区</w:t>
            </w:r>
          </w:p>
        </w:tc>
        <w:tc>
          <w:tcPr>
            <w:tcW w:w="172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65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w:t>
            </w:r>
          </w:p>
        </w:tc>
        <w:tc>
          <w:tcPr>
            <w:tcW w:w="227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128" w:leftChars="-61" w:right="-103" w:rightChars="-4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昆都仑河三艮才入黄口</w:t>
            </w:r>
          </w:p>
        </w:tc>
        <w:tc>
          <w:tcPr>
            <w:tcW w:w="2326" w:type="dxa"/>
            <w:noWrap w:val="0"/>
            <w:tcMar>
              <w:top w:w="0" w:type="dxa"/>
              <w:left w:w="108" w:type="dxa"/>
              <w:bottom w:w="0" w:type="dxa"/>
              <w:right w:w="108" w:type="dxa"/>
            </w:tcMar>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Ⅴ类,水质类别</w:t>
            </w:r>
          </w:p>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c>
          <w:tcPr>
            <w:tcW w:w="198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昆区、九原区、固阳县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4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50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88" w:leftChars="-42" w:right="-86" w:rightChars="-41"/>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85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65" w:leftChars="-31" w:right="-73" w:rightChars="-35"/>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高新区</w:t>
            </w:r>
          </w:p>
        </w:tc>
        <w:tc>
          <w:tcPr>
            <w:tcW w:w="172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65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w:t>
            </w:r>
          </w:p>
        </w:tc>
        <w:tc>
          <w:tcPr>
            <w:tcW w:w="227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128" w:leftChars="-61" w:right="-103" w:rightChars="-4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四道沙河入黄口</w:t>
            </w:r>
          </w:p>
        </w:tc>
        <w:tc>
          <w:tcPr>
            <w:tcW w:w="2326" w:type="dxa"/>
            <w:noWrap w:val="0"/>
            <w:tcMar>
              <w:top w:w="0" w:type="dxa"/>
              <w:left w:w="108" w:type="dxa"/>
              <w:bottom w:w="0" w:type="dxa"/>
              <w:right w:w="108" w:type="dxa"/>
            </w:tcMar>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Ⅴ类,水质类别</w:t>
            </w:r>
          </w:p>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c>
          <w:tcPr>
            <w:tcW w:w="198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昆区、青山区、九原区高新区</w:t>
            </w:r>
          </w:p>
        </w:tc>
      </w:tr>
    </w:tbl>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昆区202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年城市集中式饮用水水源清单</w:t>
      </w:r>
    </w:p>
    <w:tbl>
      <w:tblPr>
        <w:tblStyle w:val="11"/>
        <w:tblW w:w="14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119"/>
        <w:gridCol w:w="1185"/>
        <w:gridCol w:w="1695"/>
        <w:gridCol w:w="1545"/>
        <w:gridCol w:w="3410"/>
        <w:gridCol w:w="1390"/>
        <w:gridCol w:w="191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802"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序号</w:t>
            </w:r>
          </w:p>
        </w:tc>
        <w:tc>
          <w:tcPr>
            <w:tcW w:w="1119"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地市</w:t>
            </w:r>
          </w:p>
        </w:tc>
        <w:tc>
          <w:tcPr>
            <w:tcW w:w="118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区县</w:t>
            </w:r>
          </w:p>
        </w:tc>
        <w:tc>
          <w:tcPr>
            <w:tcW w:w="169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所属流域</w:t>
            </w:r>
          </w:p>
        </w:tc>
        <w:tc>
          <w:tcPr>
            <w:tcW w:w="1545"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所在水体名称</w:t>
            </w:r>
          </w:p>
        </w:tc>
        <w:tc>
          <w:tcPr>
            <w:tcW w:w="3410"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水源地名称</w:t>
            </w:r>
          </w:p>
        </w:tc>
        <w:tc>
          <w:tcPr>
            <w:tcW w:w="1390"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水源地类型</w:t>
            </w:r>
          </w:p>
        </w:tc>
        <w:tc>
          <w:tcPr>
            <w:tcW w:w="1914"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水质目标</w:t>
            </w:r>
          </w:p>
        </w:tc>
        <w:tc>
          <w:tcPr>
            <w:tcW w:w="1116" w:type="dxa"/>
            <w:vMerge w:val="restart"/>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802"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19"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8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69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545"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3410"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390"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914"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c>
          <w:tcPr>
            <w:tcW w:w="1116" w:type="dxa"/>
            <w:vMerge w:val="continue"/>
            <w:noWrap w:val="0"/>
            <w:vAlign w:val="center"/>
          </w:tcPr>
          <w:p>
            <w:pPr>
              <w:keepNext w:val="0"/>
              <w:keepLines w:val="0"/>
              <w:pageBreakBefore w:val="0"/>
              <w:widowControl/>
              <w:kinsoku/>
              <w:wordWrap/>
              <w:autoSpaceDN/>
              <w:bidi w:val="0"/>
              <w:spacing w:line="560" w:lineRule="exact"/>
              <w:jc w:val="left"/>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昆都仑河</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包头市昆都仑水库水源地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地表水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包头市昆都仑区清水池水源地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地下水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exact"/>
          <w:jc w:val="center"/>
        </w:trPr>
        <w:tc>
          <w:tcPr>
            <w:tcW w:w="802"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11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18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169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黄河流域</w:t>
            </w:r>
          </w:p>
        </w:tc>
        <w:tc>
          <w:tcPr>
            <w:tcW w:w="154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c>
          <w:tcPr>
            <w:tcW w:w="341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包头市昆都仑区阿尔丁水厂水源地</w:t>
            </w:r>
          </w:p>
        </w:tc>
        <w:tc>
          <w:tcPr>
            <w:tcW w:w="1390"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地下水</w:t>
            </w:r>
          </w:p>
        </w:tc>
        <w:tc>
          <w:tcPr>
            <w:tcW w:w="1914"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达到或优于Ⅲ类</w:t>
            </w:r>
          </w:p>
        </w:tc>
        <w:tc>
          <w:tcPr>
            <w:tcW w:w="1116"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w:t>
            </w: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pStyle w:val="5"/>
        <w:keepNext w:val="0"/>
        <w:keepLines w:val="0"/>
        <w:pageBreakBefore w:val="0"/>
        <w:kinsoku/>
        <w:wordWrap/>
        <w:autoSpaceDN/>
        <w:bidi w:val="0"/>
        <w:spacing w:line="560" w:lineRule="exact"/>
        <w:rPr>
          <w:rFonts w:hint="default" w:ascii="Times New Roman" w:hAnsi="Times New Roman" w:cs="Times New Roman"/>
          <w:color w:val="auto"/>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昆区202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年地下水点位水质目标清单</w:t>
      </w:r>
    </w:p>
    <w:tbl>
      <w:tblPr>
        <w:tblStyle w:val="11"/>
        <w:tblW w:w="14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8"/>
        <w:gridCol w:w="1819"/>
        <w:gridCol w:w="1541"/>
        <w:gridCol w:w="1435"/>
        <w:gridCol w:w="2047"/>
        <w:gridCol w:w="3817"/>
        <w:gridCol w:w="151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省区</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地市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区县</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原始编号</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点位名称</w:t>
            </w:r>
          </w:p>
        </w:tc>
        <w:tc>
          <w:tcPr>
            <w:tcW w:w="1511"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含水层类型</w:t>
            </w:r>
          </w:p>
        </w:tc>
        <w:tc>
          <w:tcPr>
            <w:tcW w:w="1127"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内蒙古</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包头市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昆区</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NM-14-13</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包头市昆区清水池水源地6#井</w:t>
            </w:r>
          </w:p>
        </w:tc>
        <w:tc>
          <w:tcPr>
            <w:tcW w:w="1511" w:type="dxa"/>
            <w:noWrap w:val="0"/>
            <w:vAlign w:val="center"/>
          </w:tcPr>
          <w:p>
            <w:pPr>
              <w:keepNext w:val="0"/>
              <w:keepLines w:val="0"/>
              <w:pageBreakBefore w:val="0"/>
              <w:widowControl/>
              <w:kinsoku/>
              <w:wordWrap/>
              <w:autoSpaceDN/>
              <w:bidi w:val="0"/>
              <w:spacing w:line="560" w:lineRule="exact"/>
              <w:ind w:left="-82" w:leftChars="-39" w:right="-111" w:rightChars="-53"/>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承压水</w:t>
            </w:r>
          </w:p>
        </w:tc>
        <w:tc>
          <w:tcPr>
            <w:tcW w:w="1127" w:type="dxa"/>
            <w:vMerge w:val="restart"/>
            <w:noWrap w:val="0"/>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水质类别</w:t>
            </w:r>
          </w:p>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维持稳定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58"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1819"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内蒙古</w:t>
            </w:r>
          </w:p>
        </w:tc>
        <w:tc>
          <w:tcPr>
            <w:tcW w:w="1541"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w:t>
            </w:r>
          </w:p>
        </w:tc>
        <w:tc>
          <w:tcPr>
            <w:tcW w:w="1435"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ind w:left="-99" w:leftChars="-47" w:right="-82" w:rightChars="-39"/>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昆区</w:t>
            </w:r>
          </w:p>
        </w:tc>
        <w:tc>
          <w:tcPr>
            <w:tcW w:w="204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R130代</w:t>
            </w:r>
          </w:p>
        </w:tc>
        <w:tc>
          <w:tcPr>
            <w:tcW w:w="3817" w:type="dxa"/>
            <w:noWrap w:val="0"/>
            <w:tcMar>
              <w:top w:w="0" w:type="dxa"/>
              <w:left w:w="108" w:type="dxa"/>
              <w:bottom w:w="0" w:type="dxa"/>
              <w:right w:w="108" w:type="dxa"/>
            </w:tcMar>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包头市九原区110国道交警六中队</w:t>
            </w:r>
          </w:p>
        </w:tc>
        <w:tc>
          <w:tcPr>
            <w:tcW w:w="1511" w:type="dxa"/>
            <w:noWrap w:val="0"/>
            <w:vAlign w:val="center"/>
          </w:tcPr>
          <w:p>
            <w:pPr>
              <w:keepNext w:val="0"/>
              <w:keepLines w:val="0"/>
              <w:pageBreakBefore w:val="0"/>
              <w:widowControl/>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承压水</w:t>
            </w:r>
          </w:p>
        </w:tc>
        <w:tc>
          <w:tcPr>
            <w:tcW w:w="1127" w:type="dxa"/>
            <w:vMerge w:val="continue"/>
            <w:noWrap w:val="0"/>
            <w:vAlign w:val="center"/>
          </w:tcPr>
          <w:p>
            <w:pPr>
              <w:keepNext w:val="0"/>
              <w:keepLines w:val="0"/>
              <w:pageBreakBefore w:val="0"/>
              <w:kinsoku/>
              <w:wordWrap/>
              <w:autoSpaceDN/>
              <w:bidi w:val="0"/>
              <w:spacing w:line="560" w:lineRule="exact"/>
              <w:ind w:left="-82" w:leftChars="-39" w:right="-111" w:rightChars="-53"/>
              <w:jc w:val="center"/>
              <w:rPr>
                <w:rFonts w:hint="default" w:ascii="Times New Roman" w:hAnsi="Times New Roman" w:cs="Times New Roman"/>
                <w:color w:val="auto"/>
                <w:kern w:val="0"/>
                <w:sz w:val="18"/>
                <w:szCs w:val="18"/>
              </w:rPr>
            </w:pPr>
          </w:p>
        </w:tc>
      </w:tr>
    </w:tbl>
    <w:p>
      <w:pPr>
        <w:pStyle w:val="20"/>
        <w:keepNext w:val="0"/>
        <w:keepLines w:val="0"/>
        <w:pageBreakBefore w:val="0"/>
        <w:kinsoku/>
        <w:wordWrap/>
        <w:autoSpaceDN/>
        <w:bidi w:val="0"/>
        <w:spacing w:line="560" w:lineRule="exact"/>
        <w:ind w:firstLine="0" w:firstLineChars="0"/>
        <w:rPr>
          <w:rFonts w:hint="default" w:ascii="Times New Roman" w:hAnsi="Times New Roman" w:cs="Times New Roman"/>
          <w:color w:val="auto"/>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2"/>
        <w:keepNext w:val="0"/>
        <w:keepLines w:val="0"/>
        <w:pageBreakBefore w:val="0"/>
        <w:kinsoku/>
        <w:wordWrap/>
        <w:autoSpaceDN/>
        <w:bidi w:val="0"/>
        <w:spacing w:line="560" w:lineRule="exact"/>
        <w:rPr>
          <w:rFonts w:hint="default" w:ascii="Times New Roman" w:hAnsi="Times New Roman" w:eastAsia="黑体" w:cs="Times New Roman"/>
          <w:color w:val="auto"/>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rPr>
        <w:t>附件</w:t>
      </w:r>
      <w:r>
        <w:rPr>
          <w:rFonts w:hint="eastAsia" w:eastAsia="黑体" w:cs="Times New Roman"/>
          <w:color w:val="auto"/>
          <w:spacing w:val="-2"/>
          <w:sz w:val="32"/>
          <w:szCs w:val="32"/>
          <w:lang w:val="en-US" w:eastAsia="zh-CN"/>
        </w:rPr>
        <w:t>6</w:t>
      </w:r>
      <w:r>
        <w:rPr>
          <w:rFonts w:hint="default" w:ascii="Times New Roman" w:hAnsi="Times New Roman" w:eastAsia="黑体" w:cs="Times New Roman"/>
          <w:color w:val="auto"/>
          <w:spacing w:val="-2"/>
          <w:sz w:val="32"/>
          <w:szCs w:val="32"/>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年水污染防治攻坚行动重点任务表</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tbl>
      <w:tblPr>
        <w:tblStyle w:val="11"/>
        <w:tblW w:w="16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29"/>
        <w:gridCol w:w="1504"/>
        <w:gridCol w:w="6576"/>
        <w:gridCol w:w="1760"/>
        <w:gridCol w:w="900"/>
        <w:gridCol w:w="1395"/>
        <w:gridCol w:w="779"/>
        <w:gridCol w:w="86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序号</w:t>
            </w:r>
          </w:p>
        </w:tc>
        <w:tc>
          <w:tcPr>
            <w:tcW w:w="92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类别</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重点工作</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具体工作任务</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责任单位</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责任人</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完成时限</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1</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水污染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治理工程</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强化园区基础设施建设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按照</w:t>
            </w:r>
            <w:r>
              <w:rPr>
                <w:rFonts w:hint="default" w:ascii="Times New Roman" w:hAnsi="Times New Roman" w:cs="Times New Roman"/>
                <w:color w:val="auto"/>
                <w:spacing w:val="-2"/>
                <w:sz w:val="18"/>
                <w:szCs w:val="18"/>
                <w:lang w:val="en-US" w:eastAsia="zh-CN"/>
              </w:rPr>
              <w:t>《包头市工业园区考核评价体系》，持续完善</w:t>
            </w:r>
            <w:r>
              <w:rPr>
                <w:rFonts w:hint="default" w:ascii="Times New Roman" w:hAnsi="Times New Roman" w:cs="Times New Roman"/>
                <w:color w:val="auto"/>
                <w:spacing w:val="-2"/>
                <w:sz w:val="18"/>
                <w:szCs w:val="18"/>
                <w:lang w:eastAsia="zh-CN"/>
              </w:rPr>
              <w:t>工业</w:t>
            </w:r>
            <w:r>
              <w:rPr>
                <w:rFonts w:hint="default" w:ascii="Times New Roman" w:hAnsi="Times New Roman" w:cs="Times New Roman"/>
                <w:color w:val="auto"/>
                <w:spacing w:val="-2"/>
                <w:sz w:val="18"/>
                <w:szCs w:val="18"/>
                <w:lang w:val="en-US" w:eastAsia="zh-CN"/>
              </w:rPr>
              <w:t>园区污水</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雨水</w:t>
            </w:r>
            <w:r>
              <w:rPr>
                <w:rFonts w:hint="default" w:ascii="Times New Roman" w:hAnsi="Times New Roman" w:cs="Times New Roman"/>
                <w:color w:val="auto"/>
                <w:spacing w:val="-2"/>
                <w:sz w:val="18"/>
                <w:szCs w:val="18"/>
                <w:lang w:eastAsia="zh-CN"/>
              </w:rPr>
              <w:t>及中水管网</w:t>
            </w:r>
            <w:r>
              <w:rPr>
                <w:rFonts w:hint="default" w:ascii="Times New Roman" w:hAnsi="Times New Roman" w:cs="Times New Roman"/>
                <w:color w:val="auto"/>
                <w:spacing w:val="-2"/>
                <w:sz w:val="18"/>
                <w:szCs w:val="18"/>
                <w:lang w:val="en-US" w:eastAsia="zh-CN"/>
              </w:rPr>
              <w:t>等基础设施建设，形成园区完善的雨水、污水</w:t>
            </w:r>
            <w:r>
              <w:rPr>
                <w:rFonts w:hint="default" w:ascii="Times New Roman" w:hAnsi="Times New Roman" w:cs="Times New Roman"/>
                <w:color w:val="auto"/>
                <w:spacing w:val="-2"/>
                <w:sz w:val="18"/>
                <w:szCs w:val="18"/>
                <w:lang w:eastAsia="zh-CN"/>
              </w:rPr>
              <w:t>及中水</w:t>
            </w:r>
            <w:r>
              <w:rPr>
                <w:rFonts w:hint="default" w:ascii="Times New Roman" w:hAnsi="Times New Roman" w:cs="Times New Roman"/>
                <w:color w:val="auto"/>
                <w:spacing w:val="-2"/>
                <w:sz w:val="18"/>
                <w:szCs w:val="18"/>
                <w:lang w:val="en-US" w:eastAsia="zh-CN"/>
              </w:rPr>
              <w:t>管网信息</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金属深加工园区管委会</w:t>
            </w:r>
            <w:r>
              <w:rPr>
                <w:rFonts w:hint="default" w:ascii="Times New Roman" w:hAnsi="Times New Roman" w:cs="Times New Roman"/>
                <w:color w:val="auto"/>
                <w:spacing w:val="-2"/>
                <w:sz w:val="18"/>
                <w:szCs w:val="18"/>
                <w:lang w:eastAsia="zh-CN"/>
              </w:rPr>
              <w:t>、区住建局、卜尔汉图镇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rPr>
            </w:pPr>
            <w:r>
              <w:rPr>
                <w:rFonts w:hint="default" w:ascii="Times New Roman" w:hAnsi="Times New Roman" w:cs="Times New Roman"/>
                <w:color w:val="auto"/>
                <w:spacing w:val="-2"/>
                <w:sz w:val="18"/>
                <w:szCs w:val="18"/>
                <w:lang w:eastAsia="zh-CN"/>
              </w:rPr>
              <w:t>王永茂高拥政许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持续完善园区排水企业管理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金属深加工园区管委会</w:t>
            </w:r>
            <w:r>
              <w:rPr>
                <w:rFonts w:hint="default" w:ascii="Times New Roman" w:hAnsi="Times New Roman" w:cs="Times New Roman"/>
                <w:color w:val="auto"/>
                <w:spacing w:val="-2"/>
                <w:sz w:val="18"/>
                <w:szCs w:val="18"/>
                <w:lang w:eastAsia="zh-CN"/>
              </w:rPr>
              <w:t>加强对</w:t>
            </w:r>
            <w:r>
              <w:rPr>
                <w:rFonts w:hint="default" w:ascii="Times New Roman" w:hAnsi="Times New Roman" w:cs="Times New Roman"/>
                <w:color w:val="auto"/>
                <w:spacing w:val="-2"/>
                <w:sz w:val="18"/>
                <w:szCs w:val="18"/>
                <w:lang w:val="en-US" w:eastAsia="zh-CN"/>
              </w:rPr>
              <w:t>园区</w:t>
            </w:r>
            <w:r>
              <w:rPr>
                <w:rFonts w:hint="default" w:ascii="Times New Roman" w:hAnsi="Times New Roman" w:cs="Times New Roman"/>
                <w:color w:val="auto"/>
                <w:spacing w:val="-2"/>
                <w:sz w:val="18"/>
                <w:szCs w:val="18"/>
                <w:lang w:eastAsia="zh-CN"/>
              </w:rPr>
              <w:t>内工业污水排入西郊污水处理厂的企业的监管</w:t>
            </w:r>
            <w:r>
              <w:rPr>
                <w:rFonts w:hint="default" w:ascii="Times New Roman" w:hAnsi="Times New Roman" w:cs="Times New Roman"/>
                <w:color w:val="auto"/>
                <w:spacing w:val="-2"/>
                <w:sz w:val="18"/>
                <w:szCs w:val="18"/>
                <w:lang w:val="en-US" w:eastAsia="zh-CN"/>
              </w:rPr>
              <w:t>，工业废水必须经预处理达到集中处理要求，方可进入</w:t>
            </w:r>
            <w:r>
              <w:rPr>
                <w:rFonts w:hint="default" w:ascii="Times New Roman" w:hAnsi="Times New Roman" w:cs="Times New Roman"/>
                <w:color w:val="auto"/>
                <w:spacing w:val="-2"/>
                <w:sz w:val="18"/>
                <w:szCs w:val="18"/>
                <w:lang w:eastAsia="zh-CN"/>
              </w:rPr>
              <w:t>西郊污水处理厂。督促排入西郊污水处理厂的企业逐步安装在线监控设施并与园区联网。强化对园区内排水企业管理，</w:t>
            </w:r>
            <w:r>
              <w:rPr>
                <w:rFonts w:hint="default" w:ascii="Times New Roman" w:hAnsi="Times New Roman" w:cs="Times New Roman"/>
                <w:color w:val="auto"/>
                <w:spacing w:val="-2"/>
                <w:sz w:val="18"/>
                <w:szCs w:val="18"/>
                <w:lang w:val="en-US" w:eastAsia="zh-CN"/>
              </w:rPr>
              <w:t>动态更新“园区排水企业清单”</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lang w:val="en-US" w:eastAsia="zh-CN"/>
              </w:rPr>
              <w:t>每半年将清单反馈</w:t>
            </w:r>
            <w:r>
              <w:rPr>
                <w:rFonts w:hint="default" w:ascii="Times New Roman" w:hAnsi="Times New Roman" w:cs="Times New Roman"/>
                <w:color w:val="auto"/>
                <w:spacing w:val="-2"/>
                <w:sz w:val="18"/>
                <w:szCs w:val="18"/>
                <w:lang w:eastAsia="zh-CN"/>
              </w:rPr>
              <w:t>至区生态环境分局</w:t>
            </w:r>
            <w:r>
              <w:rPr>
                <w:rFonts w:hint="default" w:ascii="Times New Roman" w:hAnsi="Times New Roman" w:cs="Times New Roman"/>
                <w:color w:val="auto"/>
                <w:spacing w:val="-2"/>
                <w:sz w:val="18"/>
                <w:szCs w:val="18"/>
                <w:lang w:val="en-US" w:eastAsia="zh-CN"/>
              </w:rPr>
              <w:t>备案</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金属深加工园区管委会</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按时序要求</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深入推进工业企业深度治理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继续推进包钢集团总排废水综合整治项目建设，6月底前完成，实施包钢氟化物削减工程建设。</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区生态环境分局、</w:t>
            </w:r>
            <w:r>
              <w:rPr>
                <w:rFonts w:hint="default" w:ascii="Times New Roman" w:hAnsi="Times New Roman" w:cs="Times New Roman"/>
                <w:color w:val="auto"/>
                <w:spacing w:val="-2"/>
                <w:sz w:val="18"/>
                <w:szCs w:val="18"/>
              </w:rPr>
              <w:t>包钢（集团）公司</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按既定工作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要求推进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强化工业</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节水减排</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严格限制新增高耗水项目，新建项目必须达到同行业先进节水水平。</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区工信局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5</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城镇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生活水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加快城市雨污</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管网建设与改造</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配合市住建局完成昆区西南总干区域排水管线改造等13条地下管网建设，以及昆北西路等12条道路配套地下管网建设；继续开展老旧管网改造工程，2022年内完成阿吉奈道、白彦道等雨水管线改造。重点区域雨季雨水、污水溢流混排情况整治取得阶段性成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按既定工作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要求推进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6</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保障污水处理厂稳定达标</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加快推进西郊污水处理厂处理能力和稳定运行的设施设备改造，确保纳管污水应收尽收、应处尽处。强化运行管理，出水水质达到《城镇污水处理厂污染物排放标准》一级A排放标准要求和零排放</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金属深加工园区管委会</w:t>
            </w:r>
            <w:r>
              <w:rPr>
                <w:rFonts w:hint="eastAsia" w:cs="Times New Roman"/>
                <w:color w:val="auto"/>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7</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河道治理与水生态环境安全保障</w:t>
            </w: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深入落实河长办工作机制</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统筹、调度、督导河长工作机制的落实。</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8</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昆都仑河河道清理工作。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昆河镇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9</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哈德门沟等</w:t>
            </w:r>
            <w:r>
              <w:rPr>
                <w:rFonts w:hint="default" w:ascii="Times New Roman" w:hAnsi="Times New Roman" w:cs="Times New Roman"/>
                <w:color w:val="auto"/>
                <w:spacing w:val="-2"/>
                <w:sz w:val="18"/>
                <w:szCs w:val="18"/>
                <w:lang w:eastAsia="zh-CN"/>
              </w:rPr>
              <w:t>5</w:t>
            </w:r>
            <w:r>
              <w:rPr>
                <w:rFonts w:hint="default" w:ascii="Times New Roman" w:hAnsi="Times New Roman" w:cs="Times New Roman"/>
                <w:color w:val="auto"/>
                <w:spacing w:val="-2"/>
                <w:sz w:val="18"/>
                <w:szCs w:val="18"/>
                <w:lang w:val="en-US" w:eastAsia="zh-CN"/>
              </w:rPr>
              <w:t>条</w:t>
            </w:r>
            <w:r>
              <w:rPr>
                <w:rFonts w:hint="default" w:ascii="Times New Roman" w:hAnsi="Times New Roman" w:cs="Times New Roman"/>
                <w:color w:val="auto"/>
                <w:spacing w:val="-2"/>
                <w:sz w:val="18"/>
                <w:szCs w:val="18"/>
                <w:lang w:eastAsia="zh-CN"/>
              </w:rPr>
              <w:t>辖区</w:t>
            </w:r>
            <w:r>
              <w:rPr>
                <w:rFonts w:hint="default" w:ascii="Times New Roman" w:hAnsi="Times New Roman" w:cs="Times New Roman"/>
                <w:color w:val="auto"/>
                <w:spacing w:val="-2"/>
                <w:sz w:val="18"/>
                <w:szCs w:val="18"/>
                <w:lang w:val="en-US" w:eastAsia="zh-CN"/>
              </w:rPr>
              <w:t>河道日常管理工作。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卜尔汉图镇</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0</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北郊截洪沟和昆都仑河（昆区段）辖区河道的日常管理工作。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昆北街道办事处</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刘晓东</w:t>
            </w:r>
          </w:p>
        </w:tc>
        <w:tc>
          <w:tcPr>
            <w:tcW w:w="1395" w:type="dxa"/>
            <w:noWrap w:val="0"/>
            <w:vAlign w:val="center"/>
          </w:tcPr>
          <w:p>
            <w:pPr>
              <w:keepNext w:val="0"/>
              <w:keepLines w:val="0"/>
              <w:pageBreakBefore w:val="0"/>
              <w:widowControl/>
              <w:kinsoku/>
              <w:wordWrap/>
              <w:autoSpaceDN/>
              <w:bidi w:val="0"/>
              <w:spacing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1</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常态化开展河</w:t>
            </w:r>
            <w:r>
              <w:rPr>
                <w:rFonts w:hint="default" w:ascii="Times New Roman" w:hAnsi="Times New Roman" w:cs="Times New Roman"/>
                <w:color w:val="auto"/>
                <w:spacing w:val="-2"/>
                <w:sz w:val="18"/>
                <w:szCs w:val="18"/>
                <w:lang w:eastAsia="zh-CN"/>
              </w:rPr>
              <w:t>道</w:t>
            </w:r>
            <w:r>
              <w:rPr>
                <w:rFonts w:hint="default" w:ascii="Times New Roman" w:hAnsi="Times New Roman" w:cs="Times New Roman"/>
                <w:color w:val="auto"/>
                <w:spacing w:val="-2"/>
                <w:sz w:val="18"/>
                <w:szCs w:val="18"/>
                <w:lang w:val="en-US" w:eastAsia="zh-CN"/>
              </w:rPr>
              <w:t>“</w:t>
            </w:r>
            <w:r>
              <w:rPr>
                <w:rFonts w:hint="default" w:ascii="Times New Roman" w:hAnsi="Times New Roman" w:cs="Times New Roman"/>
                <w:color w:val="auto"/>
                <w:spacing w:val="-2"/>
                <w:sz w:val="18"/>
                <w:szCs w:val="18"/>
                <w:lang w:eastAsia="zh-CN"/>
              </w:rPr>
              <w:t>清</w:t>
            </w:r>
            <w:r>
              <w:rPr>
                <w:rFonts w:hint="default" w:ascii="Times New Roman" w:hAnsi="Times New Roman" w:cs="Times New Roman"/>
                <w:color w:val="auto"/>
                <w:spacing w:val="-2"/>
                <w:sz w:val="18"/>
                <w:szCs w:val="18"/>
                <w:lang w:val="en-US" w:eastAsia="zh-CN"/>
              </w:rPr>
              <w:t>四乱”</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落实河</w:t>
            </w:r>
            <w:r>
              <w:rPr>
                <w:rFonts w:hint="default" w:ascii="Times New Roman" w:hAnsi="Times New Roman" w:cs="Times New Roman"/>
                <w:color w:val="auto"/>
                <w:spacing w:val="-2"/>
                <w:sz w:val="18"/>
                <w:szCs w:val="18"/>
                <w:lang w:eastAsia="zh-CN"/>
              </w:rPr>
              <w:t>道</w:t>
            </w:r>
            <w:r>
              <w:rPr>
                <w:rFonts w:hint="default" w:ascii="Times New Roman" w:hAnsi="Times New Roman" w:cs="Times New Roman"/>
                <w:color w:val="auto"/>
                <w:spacing w:val="-2"/>
                <w:sz w:val="18"/>
                <w:szCs w:val="18"/>
                <w:lang w:val="en-US" w:eastAsia="zh-CN"/>
              </w:rPr>
              <w:t>“清四乱”常态化工作机制，对河湖管理范围内乱占、乱建、乱采、乱堆问题予以严格监督管理。采取错时执勤、高密度巡查等方式，保持高压执法态势，及时查处</w:t>
            </w:r>
            <w:r>
              <w:rPr>
                <w:rFonts w:hint="default" w:ascii="Times New Roman" w:hAnsi="Times New Roman" w:cs="Times New Roman"/>
                <w:color w:val="auto"/>
                <w:spacing w:val="-2"/>
                <w:sz w:val="18"/>
                <w:szCs w:val="18"/>
                <w:lang w:eastAsia="zh-CN"/>
              </w:rPr>
              <w:t>辖</w:t>
            </w:r>
            <w:r>
              <w:rPr>
                <w:rFonts w:hint="default" w:ascii="Times New Roman" w:hAnsi="Times New Roman" w:cs="Times New Roman"/>
                <w:color w:val="auto"/>
                <w:spacing w:val="-2"/>
                <w:sz w:val="18"/>
                <w:szCs w:val="18"/>
                <w:lang w:val="en-US" w:eastAsia="zh-CN"/>
              </w:rPr>
              <w:t>区内河道倾倒废弃物的违法行为。确保河道内建筑垃圾堆存等问题得到有效管控解决。</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区农牧局、</w:t>
            </w:r>
            <w:r>
              <w:rPr>
                <w:rFonts w:hint="default" w:ascii="Times New Roman" w:hAnsi="Times New Roman" w:cs="Times New Roman"/>
                <w:color w:val="auto"/>
                <w:sz w:val="18"/>
                <w:szCs w:val="18"/>
                <w:lang w:val="en-US" w:eastAsia="zh-CN"/>
              </w:rPr>
              <w:t>昆河镇、卜尔汉图镇、昆北街道办事处、</w:t>
            </w:r>
            <w:r>
              <w:rPr>
                <w:rFonts w:hint="default" w:ascii="Times New Roman" w:hAnsi="Times New Roman" w:cs="Times New Roman"/>
                <w:color w:val="auto"/>
                <w:sz w:val="18"/>
                <w:szCs w:val="18"/>
                <w:lang w:eastAsia="zh-CN"/>
              </w:rPr>
              <w:t>区综合执法局、区住建局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崔昆仑赵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2</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深入推进雨污溢流混排隐患控制</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对辖区内的</w:t>
            </w:r>
            <w:r>
              <w:rPr>
                <w:rFonts w:hint="default" w:ascii="Times New Roman" w:hAnsi="Times New Roman" w:cs="Times New Roman"/>
                <w:color w:val="auto"/>
                <w:spacing w:val="-2"/>
                <w:sz w:val="18"/>
                <w:szCs w:val="18"/>
                <w:lang w:val="en-US" w:eastAsia="zh-CN"/>
              </w:rPr>
              <w:t>雨污管网</w:t>
            </w:r>
            <w:r>
              <w:rPr>
                <w:rFonts w:hint="default" w:ascii="Times New Roman" w:hAnsi="Times New Roman" w:cs="Times New Roman"/>
                <w:color w:val="auto"/>
                <w:spacing w:val="-2"/>
                <w:sz w:val="18"/>
                <w:szCs w:val="18"/>
                <w:lang w:eastAsia="zh-CN"/>
              </w:rPr>
              <w:t>开展</w:t>
            </w:r>
            <w:r>
              <w:rPr>
                <w:rFonts w:hint="default" w:ascii="Times New Roman" w:hAnsi="Times New Roman" w:cs="Times New Roman"/>
                <w:color w:val="auto"/>
                <w:spacing w:val="-2"/>
                <w:sz w:val="18"/>
                <w:szCs w:val="18"/>
                <w:lang w:val="en-US" w:eastAsia="zh-CN"/>
              </w:rPr>
              <w:t>智能探测，完成城区雨污管网结构普查，混接、错接情况排查及整改修复</w:t>
            </w:r>
            <w:r>
              <w:rPr>
                <w:rFonts w:hint="default" w:ascii="Times New Roman" w:hAnsi="Times New Roman" w:cs="Times New Roman"/>
                <w:color w:val="auto"/>
                <w:spacing w:val="-2"/>
                <w:sz w:val="18"/>
                <w:szCs w:val="18"/>
                <w:lang w:eastAsia="zh-CN"/>
              </w:rPr>
              <w:t>。对</w:t>
            </w:r>
            <w:r>
              <w:rPr>
                <w:rFonts w:hint="default" w:ascii="Times New Roman" w:hAnsi="Times New Roman" w:cs="Times New Roman"/>
                <w:color w:val="auto"/>
                <w:spacing w:val="-2"/>
                <w:sz w:val="18"/>
                <w:szCs w:val="18"/>
                <w:lang w:val="en-US" w:eastAsia="zh-CN"/>
              </w:rPr>
              <w:t>白云路雨水排口、昆河泵站、科技路盖板涵拟定切实有效的应急保障措施</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会同区住建局开展好雨污管网私接混接等执法检查工作。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w:t>
            </w:r>
            <w:r>
              <w:rPr>
                <w:rFonts w:hint="default" w:ascii="Times New Roman" w:hAnsi="Times New Roman" w:cs="Times New Roman"/>
                <w:color w:val="auto"/>
                <w:sz w:val="18"/>
                <w:szCs w:val="18"/>
                <w:lang w:eastAsia="zh-CN"/>
              </w:rPr>
              <w:t>综合</w:t>
            </w:r>
            <w:r>
              <w:rPr>
                <w:rFonts w:hint="default" w:ascii="Times New Roman" w:hAnsi="Times New Roman" w:cs="Times New Roman"/>
                <w:color w:val="auto"/>
                <w:sz w:val="18"/>
                <w:szCs w:val="18"/>
                <w:lang w:val="en-US" w:eastAsia="zh-CN"/>
              </w:rPr>
              <w:t>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持续开展黄河流域入河排污口排查整治专项行动</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入河排污口中工业企业排口整治及工业企业重点治理工程的督导</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入河排污口中市政生活（雨水）排口整治</w:t>
            </w:r>
            <w:r>
              <w:rPr>
                <w:rFonts w:hint="default" w:ascii="Times New Roman" w:hAnsi="Times New Roman" w:cs="Times New Roman"/>
                <w:color w:val="auto"/>
                <w:spacing w:val="-2"/>
                <w:sz w:val="18"/>
                <w:szCs w:val="18"/>
                <w:lang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入河排污口农村排口、农灌退水排口整治工作。</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1</w:t>
            </w:r>
            <w:r>
              <w:rPr>
                <w:rFonts w:hint="default" w:ascii="Times New Roman" w:hAnsi="Times New Roman" w:cs="Times New Roman"/>
                <w:color w:val="auto"/>
                <w:spacing w:val="-2"/>
                <w:sz w:val="18"/>
                <w:szCs w:val="18"/>
                <w:lang w:val="en-US" w:eastAsia="zh-CN"/>
              </w:rPr>
              <w:t>7</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巩固城市黑臭水体治理成果</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扎实推进城市黑臭水体治理示范城市建设，实施雨污合流管线改造工程、老旧管网改造工程等重点工程，确保黑臭水体“长治久清”。</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水资源</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优化配置与节约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利用工程</w:t>
            </w: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实施用水双控管理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按照《包头市“十四五”及2035年远景目标水资源供需分析》要求，实行最严格水资源管理制度，完成年度用水总量和强度控制目标，完成年度实行最严格水资源管理制度考核工作。强化地下水资源监管，坚决遏制盗采地下水行为。强化节约用水，不断推进节水行动取得新成效。</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pacing w:val="-2"/>
                <w:sz w:val="18"/>
                <w:szCs w:val="18"/>
              </w:rPr>
              <w:t>区农牧局</w:t>
            </w:r>
            <w:r>
              <w:rPr>
                <w:rFonts w:hint="default" w:ascii="Times New Roman" w:hAnsi="Times New Roman" w:cs="Times New Roman"/>
                <w:color w:val="auto"/>
                <w:spacing w:val="-2"/>
                <w:sz w:val="18"/>
                <w:szCs w:val="18"/>
                <w:lang w:eastAsia="zh-CN"/>
              </w:rPr>
              <w:t>、金属深加工园区管委会</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崔昆仑王永茂</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促进再生水利用</w:t>
            </w:r>
            <w:r>
              <w:rPr>
                <w:rFonts w:hint="default" w:ascii="Times New Roman" w:hAnsi="Times New Roman" w:cs="Times New Roman"/>
                <w:color w:val="auto"/>
                <w:spacing w:val="-2"/>
                <w:sz w:val="18"/>
                <w:szCs w:val="18"/>
                <w:lang w:eastAsia="zh-CN"/>
              </w:rPr>
              <w:t>，提高中水回用率</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加强园区中水管网建设，提高中水回用率</w:t>
            </w:r>
            <w:r>
              <w:rPr>
                <w:rFonts w:hint="default" w:ascii="Times New Roman" w:hAnsi="Times New Roman" w:cs="Times New Roman"/>
                <w:color w:val="auto"/>
                <w:spacing w:val="-2"/>
                <w:sz w:val="18"/>
                <w:szCs w:val="18"/>
                <w:lang w:eastAsia="zh-CN"/>
              </w:rPr>
              <w:t>，加强园区再生水等公共供水工程建设</w:t>
            </w:r>
            <w:r>
              <w:rPr>
                <w:rFonts w:hint="default" w:ascii="Times New Roman" w:hAnsi="Times New Roman" w:cs="Times New Roman"/>
                <w:color w:val="auto"/>
                <w:spacing w:val="-2"/>
                <w:sz w:val="18"/>
                <w:szCs w:val="18"/>
                <w:lang w:val="en-US" w:eastAsia="zh-CN"/>
              </w:rPr>
              <w:t>。</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金属深加工园区管委会</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王永茂</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0</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城</w:t>
            </w:r>
            <w:r>
              <w:rPr>
                <w:rFonts w:hint="default" w:ascii="Times New Roman" w:hAnsi="Times New Roman" w:cs="Times New Roman"/>
                <w:color w:val="auto"/>
                <w:spacing w:val="-2"/>
                <w:sz w:val="18"/>
                <w:szCs w:val="18"/>
                <w:lang w:val="en-US" w:eastAsia="zh-CN"/>
              </w:rPr>
              <w:t>区</w:t>
            </w:r>
            <w:r>
              <w:rPr>
                <w:rFonts w:hint="default" w:ascii="Times New Roman" w:hAnsi="Times New Roman" w:cs="Times New Roman"/>
                <w:color w:val="auto"/>
                <w:spacing w:val="-2"/>
                <w:sz w:val="18"/>
                <w:szCs w:val="18"/>
                <w:lang w:eastAsia="zh-CN"/>
              </w:rPr>
              <w:t>中水管网建设，在建成区</w:t>
            </w:r>
            <w:r>
              <w:rPr>
                <w:rFonts w:hint="default" w:ascii="Times New Roman" w:hAnsi="Times New Roman" w:cs="Times New Roman"/>
                <w:color w:val="auto"/>
                <w:spacing w:val="-2"/>
                <w:sz w:val="18"/>
                <w:szCs w:val="18"/>
                <w:lang w:val="en-US" w:eastAsia="zh-CN"/>
              </w:rPr>
              <w:t>和村镇园林绿化、生态景观的维护和管理中优先使用再生水。</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1</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在具备再生水使用的条件下，在</w:t>
            </w:r>
            <w:r>
              <w:rPr>
                <w:rFonts w:hint="default" w:ascii="Times New Roman" w:hAnsi="Times New Roman" w:cs="Times New Roman"/>
                <w:color w:val="auto"/>
                <w:spacing w:val="-2"/>
                <w:sz w:val="18"/>
                <w:szCs w:val="18"/>
                <w:lang w:val="en-US" w:eastAsia="zh-CN"/>
              </w:rPr>
              <w:t>道路清扫时优先使用再生水。</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区综合执法局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2</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饮用水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安全保障</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持续推进水源地达标建设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对照达标建设要求，配合市水务局开展建设保障工作，督促供水企业严格水质监测，保障城镇公共供水水质安全。</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昆区清水池</w:t>
            </w:r>
            <w:r>
              <w:rPr>
                <w:rFonts w:hint="eastAsia" w:cs="Times New Roman"/>
                <w:color w:val="auto"/>
                <w:spacing w:val="-2"/>
                <w:sz w:val="18"/>
                <w:szCs w:val="18"/>
                <w:lang w:val="en-US"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阿尔丁净水厂</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3</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饮用水水源地规范化建设</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加强饮用水水源地规范化建设，做好城市级集中式饮用水水源地环境状况调查评估工作，完善城市级饮用水水源地数据库。</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24</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提高农村饮用水水源地管理水平，采取水源更换、集中供水、污染治理、巩固提升等措施，确保农村供水安全。</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区农牧局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崔昆仑</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5</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50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强化饮用水卫生安全监督管理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采取双随机</w:t>
            </w:r>
            <w:r>
              <w:rPr>
                <w:rFonts w:hint="eastAsia" w:cs="Times New Roman"/>
                <w:color w:val="auto"/>
                <w:spacing w:val="-2"/>
                <w:sz w:val="18"/>
                <w:szCs w:val="18"/>
                <w:lang w:val="en-US" w:eastAsia="zh-CN"/>
              </w:rPr>
              <w:t>、</w:t>
            </w:r>
            <w:bookmarkStart w:id="0" w:name="_GoBack"/>
            <w:bookmarkEnd w:id="0"/>
            <w:r>
              <w:rPr>
                <w:rFonts w:hint="default" w:ascii="Times New Roman" w:hAnsi="Times New Roman" w:cs="Times New Roman"/>
                <w:color w:val="auto"/>
                <w:spacing w:val="-2"/>
                <w:sz w:val="18"/>
                <w:szCs w:val="18"/>
                <w:lang w:val="en-US" w:eastAsia="zh-CN"/>
              </w:rPr>
              <w:t>一公开监督模式，按照国家下达的双随机任务，组织开展生活饮用水抽检工作。配合全市开展生活饮用水卫生监督专项检查。</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区卫健委</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凤</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长期坚持</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6</w:t>
            </w:r>
          </w:p>
        </w:tc>
        <w:tc>
          <w:tcPr>
            <w:tcW w:w="929"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水环境</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精细化</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管理工程</w:t>
            </w:r>
          </w:p>
        </w:tc>
        <w:tc>
          <w:tcPr>
            <w:tcW w:w="1504"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加强水环境协同管理</w:t>
            </w: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配合</w:t>
            </w:r>
            <w:r>
              <w:rPr>
                <w:rFonts w:hint="default" w:ascii="Times New Roman" w:hAnsi="Times New Roman" w:cs="Times New Roman"/>
                <w:color w:val="auto"/>
                <w:spacing w:val="-2"/>
                <w:sz w:val="18"/>
                <w:szCs w:val="18"/>
                <w:lang w:val="en-US" w:eastAsia="zh-CN"/>
              </w:rPr>
              <w:t>市住建局</w:t>
            </w:r>
            <w:r>
              <w:rPr>
                <w:rFonts w:hint="default" w:ascii="Times New Roman" w:hAnsi="Times New Roman" w:cs="Times New Roman"/>
                <w:color w:val="auto"/>
                <w:spacing w:val="-2"/>
                <w:sz w:val="18"/>
                <w:szCs w:val="18"/>
                <w:lang w:eastAsia="zh-CN"/>
              </w:rPr>
              <w:t>加强</w:t>
            </w:r>
            <w:r>
              <w:rPr>
                <w:rFonts w:hint="default" w:ascii="Times New Roman" w:hAnsi="Times New Roman" w:cs="Times New Roman"/>
                <w:color w:val="auto"/>
                <w:spacing w:val="-2"/>
                <w:sz w:val="18"/>
                <w:szCs w:val="18"/>
                <w:lang w:val="en-US" w:eastAsia="zh-CN"/>
              </w:rPr>
              <w:t>无证排水管理，向市住建局提供管线情况报告，协助进行整改工作的开展。</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区住建局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27</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入河排污口监管、工业企业排污许可证核发和管理。</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区生态环境分局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28</w:t>
            </w:r>
          </w:p>
        </w:tc>
        <w:tc>
          <w:tcPr>
            <w:tcW w:w="929"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1504"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p>
        </w:tc>
        <w:tc>
          <w:tcPr>
            <w:tcW w:w="6576"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对无证违规排水和混接私接等违法行为进行处罚。</w:t>
            </w:r>
          </w:p>
        </w:tc>
        <w:tc>
          <w:tcPr>
            <w:tcW w:w="176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区综合执法局</w:t>
            </w:r>
          </w:p>
        </w:tc>
        <w:tc>
          <w:tcPr>
            <w:tcW w:w="90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高明</w:t>
            </w:r>
          </w:p>
        </w:tc>
        <w:tc>
          <w:tcPr>
            <w:tcW w:w="13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7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8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049"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r>
    </w:tbl>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黑体" w:cs="Times New Roman"/>
          <w:color w:val="auto"/>
          <w:sz w:val="32"/>
          <w:szCs w:val="32"/>
        </w:rPr>
      </w:pP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rPr>
          <w:rFonts w:hint="default" w:ascii="Times New Roman" w:hAnsi="Times New Roman" w:eastAsia="方正小标宋简体" w:cs="Times New Roman"/>
          <w:color w:val="auto"/>
          <w:kern w:val="0"/>
          <w:sz w:val="44"/>
          <w:szCs w:val="44"/>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7</w:t>
      </w:r>
      <w:r>
        <w:rPr>
          <w:rFonts w:hint="default" w:ascii="Times New Roman" w:hAnsi="Times New Roman" w:eastAsia="黑体" w:cs="Times New Roman"/>
          <w:color w:val="auto"/>
          <w:sz w:val="32"/>
          <w:szCs w:val="32"/>
        </w:rPr>
        <w:t>:</w:t>
      </w:r>
      <w:r>
        <w:rPr>
          <w:rFonts w:hint="default" w:ascii="Times New Roman" w:hAnsi="Times New Roman" w:eastAsia="方正小标宋简体" w:cs="Times New Roman"/>
          <w:color w:val="auto"/>
          <w:kern w:val="0"/>
          <w:sz w:val="44"/>
          <w:szCs w:val="44"/>
        </w:rPr>
        <w:t xml:space="preserve"> </w:t>
      </w:r>
    </w:p>
    <w:p>
      <w:pPr>
        <w:keepNext w:val="0"/>
        <w:keepLines w:val="0"/>
        <w:pageBreakBefore w:val="0"/>
        <w:pBdr>
          <w:bottom w:val="single" w:color="FFFFFF" w:sz="4" w:space="31"/>
        </w:pBdr>
        <w:tabs>
          <w:tab w:val="left" w:pos="2739"/>
        </w:tabs>
        <w:kinsoku/>
        <w:wordWrap/>
        <w:overflowPunct w:val="0"/>
        <w:topLinePunct/>
        <w:autoSpaceDN/>
        <w:bidi w:val="0"/>
        <w:adjustRightInd w:val="0"/>
        <w:snapToGrid w:val="0"/>
        <w:spacing w:line="560" w:lineRule="exact"/>
        <w:jc w:val="center"/>
        <w:rPr>
          <w:rFonts w:hint="default" w:ascii="Times New Roman" w:hAnsi="Times New Roman" w:eastAsia="方正小标宋简体" w:cs="Times New Roman"/>
          <w:color w:val="auto"/>
          <w:spacing w:val="-2"/>
          <w:sz w:val="44"/>
          <w:szCs w:val="44"/>
        </w:rPr>
      </w:pPr>
      <w:r>
        <w:rPr>
          <w:rFonts w:hint="default" w:ascii="Times New Roman" w:hAnsi="Times New Roman" w:eastAsia="方正小标宋简体" w:cs="Times New Roman"/>
          <w:color w:val="auto"/>
          <w:spacing w:val="-2"/>
          <w:sz w:val="44"/>
          <w:szCs w:val="44"/>
        </w:rPr>
        <w:t>昆区202</w:t>
      </w:r>
      <w:r>
        <w:rPr>
          <w:rFonts w:hint="default" w:ascii="Times New Roman" w:hAnsi="Times New Roman" w:eastAsia="方正小标宋简体" w:cs="Times New Roman"/>
          <w:color w:val="auto"/>
          <w:spacing w:val="-2"/>
          <w:sz w:val="44"/>
          <w:szCs w:val="44"/>
          <w:lang w:val="en-US" w:eastAsia="zh-CN"/>
        </w:rPr>
        <w:t>2</w:t>
      </w:r>
      <w:r>
        <w:rPr>
          <w:rFonts w:hint="default" w:ascii="Times New Roman" w:hAnsi="Times New Roman" w:eastAsia="方正小标宋简体" w:cs="Times New Roman"/>
          <w:color w:val="auto"/>
          <w:spacing w:val="-2"/>
          <w:sz w:val="44"/>
          <w:szCs w:val="44"/>
        </w:rPr>
        <w:t>年土壤固废污染防治攻坚行动重点任务表</w:t>
      </w:r>
    </w:p>
    <w:tbl>
      <w:tblPr>
        <w:tblStyle w:val="11"/>
        <w:tblW w:w="16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122"/>
        <w:gridCol w:w="1366"/>
        <w:gridCol w:w="6795"/>
        <w:gridCol w:w="1634"/>
        <w:gridCol w:w="1031"/>
        <w:gridCol w:w="1095"/>
        <w:gridCol w:w="740"/>
        <w:gridCol w:w="884"/>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序号</w:t>
            </w:r>
          </w:p>
        </w:tc>
        <w:tc>
          <w:tcPr>
            <w:tcW w:w="1122"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类别</w:t>
            </w: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重点工作</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具体工作任务</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责任单位</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责任人</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rPr>
              <w:t>完成时限</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工作进展情况</w:t>
            </w: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存在的问题</w:t>
            </w: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b/>
                <w:bCs/>
                <w:color w:val="auto"/>
                <w:spacing w:val="-2"/>
                <w:kern w:val="0"/>
                <w:sz w:val="21"/>
                <w:szCs w:val="21"/>
                <w:lang w:val="en-US" w:eastAsia="zh-CN" w:bidi="ar-SA"/>
              </w:rPr>
            </w:pPr>
            <w:r>
              <w:rPr>
                <w:rFonts w:hint="default" w:ascii="Times New Roman" w:hAnsi="Times New Roman" w:cs="Times New Roman"/>
                <w:b/>
                <w:bCs/>
                <w:color w:val="auto"/>
                <w:spacing w:val="-2"/>
                <w:sz w:val="21"/>
                <w:szCs w:val="21"/>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1</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持续打好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农业农村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攻坚战</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持续打好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农业农村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污染治理</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攻坚战</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加快推进农村生活污水治理</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统筹调度农村牧区生活污水工作。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结合昆区实际制定农村生活污水治理优化调整方案，完成昆北街道办事处边墙壕村生活污水管网项目</w:t>
            </w:r>
            <w:r>
              <w:rPr>
                <w:rFonts w:hint="eastAsia" w:cs="Times New Roman"/>
                <w:color w:val="auto"/>
                <w:sz w:val="18"/>
                <w:szCs w:val="18"/>
                <w:lang w:eastAsia="zh-CN"/>
              </w:rPr>
              <w:t>可研</w:t>
            </w:r>
            <w:r>
              <w:rPr>
                <w:rFonts w:hint="default" w:ascii="Times New Roman" w:hAnsi="Times New Roman" w:cs="Times New Roman"/>
                <w:color w:val="auto"/>
                <w:sz w:val="18"/>
                <w:szCs w:val="18"/>
              </w:rPr>
              <w:t>、立项、设计方案等手续办理并加快实施。</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区住建局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高拥政</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3</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做好</w:t>
            </w:r>
            <w:r>
              <w:rPr>
                <w:rFonts w:hint="default" w:ascii="Times New Roman" w:hAnsi="Times New Roman" w:cs="Times New Roman"/>
                <w:color w:val="auto"/>
                <w:sz w:val="18"/>
                <w:szCs w:val="18"/>
                <w:lang w:val="en-US" w:eastAsia="zh-CN"/>
              </w:rPr>
              <w:t>农村改厕与生活污水治理衔接</w:t>
            </w:r>
            <w:r>
              <w:rPr>
                <w:rFonts w:hint="default" w:ascii="Times New Roman" w:hAnsi="Times New Roman" w:cs="Times New Roman"/>
                <w:color w:val="auto"/>
                <w:sz w:val="18"/>
                <w:szCs w:val="18"/>
                <w:lang w:eastAsia="zh-CN"/>
              </w:rPr>
              <w:t>，对</w:t>
            </w:r>
            <w:r>
              <w:rPr>
                <w:rFonts w:hint="default" w:ascii="Times New Roman" w:hAnsi="Times New Roman" w:cs="Times New Roman"/>
                <w:color w:val="auto"/>
                <w:sz w:val="18"/>
                <w:szCs w:val="18"/>
                <w:lang w:val="en-US" w:eastAsia="zh-CN"/>
              </w:rPr>
              <w:t>乌兰计二村</w:t>
            </w:r>
            <w:r>
              <w:rPr>
                <w:rFonts w:hint="default" w:ascii="Times New Roman" w:hAnsi="Times New Roman" w:cs="Times New Roman"/>
                <w:color w:val="auto"/>
                <w:sz w:val="18"/>
                <w:szCs w:val="18"/>
                <w:lang w:eastAsia="zh-CN"/>
              </w:rPr>
              <w:t>实施分散式污水处理设施改造。</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卜尔汉图镇、昆北街道办事处负责组织落实农村生活污水治理工作。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卜尔汉图镇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健全农村生活垃圾收运</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处置体系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因地制宜探索符合农村特点和农民习惯、简便易行的分类处理方式，减少垃圾出村处理量。降低生活垃圾收运设施建设和运行成本。推行农村生活垃圾分类减量与利用，完善日常巡检机制，严厉查处在农村地区饮用水水源地周边、农村黑臭水体沿岸随意倾倒、填埋垃圾行为。进一步健全农村生活垃圾收运处置体系。协同推进农村有机生活</w:t>
            </w:r>
            <w:r>
              <w:rPr>
                <w:rFonts w:hint="default" w:ascii="Times New Roman" w:hAnsi="Times New Roman" w:cs="Times New Roman"/>
                <w:color w:val="auto"/>
                <w:sz w:val="18"/>
                <w:szCs w:val="18"/>
                <w:lang w:eastAsia="zh-CN"/>
              </w:rPr>
              <w:t>垃圾、厕所粪污、农业生产有机废弃物资源化处理利用。</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区综合</w:t>
            </w:r>
            <w:r>
              <w:rPr>
                <w:rFonts w:hint="default" w:ascii="Times New Roman" w:hAnsi="Times New Roman" w:cs="Times New Roman"/>
                <w:color w:val="auto"/>
                <w:spacing w:val="-2"/>
                <w:sz w:val="18"/>
                <w:szCs w:val="18"/>
              </w:rPr>
              <w:t>执法局</w:t>
            </w:r>
            <w:r>
              <w:rPr>
                <w:rFonts w:hint="default" w:ascii="Times New Roman" w:hAnsi="Times New Roman" w:cs="Times New Roman"/>
                <w:color w:val="auto"/>
                <w:spacing w:val="-2"/>
                <w:sz w:val="18"/>
                <w:szCs w:val="18"/>
                <w:lang w:eastAsia="zh-CN"/>
              </w:rPr>
              <w:t>、</w:t>
            </w:r>
            <w:r>
              <w:rPr>
                <w:rFonts w:hint="default" w:ascii="Times New Roman" w:hAnsi="Times New Roman" w:cs="Times New Roman"/>
                <w:color w:val="auto"/>
                <w:spacing w:val="-2"/>
                <w:sz w:val="18"/>
                <w:szCs w:val="18"/>
              </w:rPr>
              <w:t>昆河镇、卜尔汉图镇、昆北街道办事处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6</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持续开展农村黑臭水体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排查整治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对新发现的黑臭水体及时纳入监管清单并开展整治。</w:t>
            </w:r>
            <w:r>
              <w:rPr>
                <w:rFonts w:hint="default" w:ascii="Times New Roman" w:hAnsi="Times New Roman" w:cs="Times New Roman"/>
                <w:color w:val="auto"/>
                <w:sz w:val="18"/>
                <w:szCs w:val="18"/>
                <w:lang w:eastAsia="zh-CN"/>
              </w:rPr>
              <w:t>将农村黑臭水体排查及整治结果通过政府网站向社会公开。</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r>
              <w:rPr>
                <w:rFonts w:hint="eastAsia" w:cs="Times New Roman"/>
                <w:color w:val="auto"/>
                <w:spacing w:val="-2"/>
                <w:sz w:val="18"/>
                <w:szCs w:val="18"/>
                <w:lang w:eastAsia="zh-CN"/>
              </w:rPr>
              <w:t>、</w:t>
            </w:r>
            <w:r>
              <w:rPr>
                <w:rFonts w:hint="default" w:ascii="Times New Roman" w:hAnsi="Times New Roman" w:cs="Times New Roman"/>
                <w:color w:val="auto"/>
                <w:spacing w:val="-2"/>
                <w:sz w:val="18"/>
                <w:szCs w:val="18"/>
              </w:rPr>
              <w:t>区农牧局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区综合执法局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2022年12月底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7</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加大对农村黑臭水体排查力度</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昆河镇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卜尔汉图镇</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昆北街道办事处</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eastAsia"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eastAsia="zh-CN"/>
              </w:rPr>
              <w:t>赵</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俊</w:t>
            </w:r>
            <w:r>
              <w:rPr>
                <w:rFonts w:hint="eastAsia" w:ascii="Times New Roman" w:hAnsi="Times New Roman" w:cs="Times New Roman"/>
                <w:color w:val="auto"/>
                <w:spacing w:val="-2"/>
                <w:sz w:val="18"/>
                <w:szCs w:val="18"/>
                <w:lang w:val="en-US" w:eastAsia="zh-CN"/>
              </w:rPr>
              <w:t xml:space="preserve"> </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许</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悦</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刘晓东</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8</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加强农业面源污染防治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实施化肥农药减量增效行动，培育扶持一批专业化服务组织，提供统测、统配、统供、统施“四统一”服务，主要农作物测土配方施肥技术覆盖率稳定在90%以上。推进科学用药、精准施药，推广应用高效低风险农药，</w:t>
            </w:r>
            <w:r>
              <w:rPr>
                <w:rFonts w:hint="default" w:ascii="Times New Roman" w:hAnsi="Times New Roman" w:cs="Times New Roman"/>
                <w:color w:val="auto"/>
                <w:sz w:val="18"/>
                <w:szCs w:val="18"/>
                <w:lang w:val="en-US" w:eastAsia="zh-CN"/>
              </w:rPr>
              <w:t>主要农作物病虫害绿色防控及统防统治覆盖率达到市级下达指标要求</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严格落实农膜管理制度，加强农膜生产、销售、使用、回收、再利用全链条监管，建立健全回收网络体系，提高废旧农膜回收利用和处置水平</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推进全生物可降解地膜有序替代，建立健全农田地膜残留监测点，开展常态化、制度化监测评估</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农用地膜回收率达到85%。加强规模化畜禽养殖监管，推动畜禽粪污资源化利用，产出沼气、有机肥等，促进废弃物集中处理、循环利用，畜禽粪污综合利用率达到90%。</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val="en-US" w:eastAsia="zh-CN"/>
              </w:rPr>
              <w:t>9</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深入推进</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农用地土壤污染防治和安全利用</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加强耕地污染源头管控</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开展耕地土壤重金属污染监测和排查治理，巩固提升耕地分类管理。全面落实受污染耕地安全利用和严格管控措施，确保</w:t>
            </w:r>
            <w:r>
              <w:rPr>
                <w:rFonts w:hint="default" w:ascii="Times New Roman" w:hAnsi="Times New Roman" w:cs="Times New Roman"/>
                <w:color w:val="auto"/>
                <w:sz w:val="18"/>
                <w:szCs w:val="18"/>
                <w:lang w:eastAsia="zh-CN"/>
              </w:rPr>
              <w:t>昆区</w:t>
            </w:r>
            <w:r>
              <w:rPr>
                <w:rFonts w:hint="default" w:ascii="Times New Roman" w:hAnsi="Times New Roman" w:cs="Times New Roman"/>
                <w:color w:val="auto"/>
                <w:sz w:val="18"/>
                <w:szCs w:val="18"/>
              </w:rPr>
              <w:t>受污染耕地安全利用率，优先保护类面积不减，安全利用类和严格管控类面积不增。</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区农牧局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10</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开展涉镉等重金属行业企业排查整治，严格控制涉重金属行业企业污染物源头排放。</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11</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排查矿区历史遗留固体废物。</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严格落实粮食收购和销售出库质量安全检验制度和追溯制度。</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区发改委</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周海飞</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95"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13</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建设用地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风险</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both"/>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有效管控建设用地土壤污染风险</w:t>
            </w: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严格建设用地准入管理</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做好建设用地准入管理工作。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配合做好土壤污染状况调查和风险评估工作。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有序推进风险管控与修复</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完成重点地区危险化学品生产企业搬迁改造，推进腾退地块风险管控和修复。</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区工信局</w:t>
            </w:r>
            <w:r>
              <w:rPr>
                <w:rFonts w:hint="eastAsia" w:cs="Times New Roman"/>
                <w:color w:val="auto"/>
                <w:spacing w:val="-2"/>
                <w:sz w:val="18"/>
                <w:szCs w:val="18"/>
                <w:lang w:eastAsia="zh-CN"/>
              </w:rPr>
              <w:t>、</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区应急局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郭洪斌</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对暂不开发利用的污染地块，制定风险管控计划，并采取切实可行的防治措施，防止污染扩散。</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黄秀丽</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16</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加强修复项目施工期环境监理，防止造成二次污染。</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17</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强化在产企业土壤污染防治</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加强对关闭、搬迁的土壤污染重点监管企业及危险化学品生产企业拆除设施、设备或者建筑物、构筑物监管，防止污染土壤和地下水。</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val="en-US" w:eastAsia="zh-CN"/>
              </w:rPr>
              <w:t>区工信局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李红宇</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18</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更新包头市土壤污染重点监管单位名单</w:t>
            </w:r>
            <w:r>
              <w:rPr>
                <w:rFonts w:hint="default" w:ascii="Times New Roman" w:hAnsi="Times New Roman" w:cs="Times New Roman"/>
                <w:color w:val="auto"/>
                <w:sz w:val="18"/>
                <w:szCs w:val="18"/>
                <w:lang w:eastAsia="zh-CN"/>
              </w:rPr>
              <w:t>。</w:t>
            </w:r>
          </w:p>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推进土壤污染重点监管单位落实隐患排查、土壤及地下水自行监测。</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2022年6月底</w:t>
            </w:r>
          </w:p>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spacing w:val="-2"/>
                <w:sz w:val="18"/>
                <w:szCs w:val="18"/>
                <w:lang w:val="en-US" w:eastAsia="zh-CN"/>
              </w:rPr>
              <w:t>2022年12月底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19</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有效管控</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建设用地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风险</w:t>
            </w: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动态更新污染地块名录</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合现有污染地块清单、疑似污染地块清单和日常监管实际，对具有高风险的在产企业、关停企业和污染地块优先开展环境保护监督管理，及时更新污染地块、疑似污染地块名录，督促土地使用权人开展相关调查及风险管控活动，有效防控地块环境风险。</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20</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强化未污染</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土壤保护</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组织开展全</w:t>
            </w:r>
            <w:r>
              <w:rPr>
                <w:rFonts w:hint="default" w:ascii="Times New Roman" w:hAnsi="Times New Roman" w:cs="Times New Roman"/>
                <w:color w:val="auto"/>
                <w:sz w:val="18"/>
                <w:szCs w:val="18"/>
                <w:lang w:eastAsia="zh-CN"/>
              </w:rPr>
              <w:t>区</w:t>
            </w:r>
            <w:r>
              <w:rPr>
                <w:rFonts w:hint="default" w:ascii="Times New Roman" w:hAnsi="Times New Roman" w:cs="Times New Roman"/>
                <w:color w:val="auto"/>
                <w:sz w:val="18"/>
                <w:szCs w:val="18"/>
              </w:rPr>
              <w:t>土壤环境保护重点行业企业布局控制工作，合理确定区域功能定位、空间布局，科学有序开发利用未利用地，防止造成土壤污染。加强对纳入耕地后备资源的未利用地保护，定期开展巡查，依法严查向草地、盐碱地等非法排污、倾倒有毒有害物质的环境违法行为。加强对矿产资源开采活动影响区域内未利用地的环境监管，发现土壤污染问题，及时督促有关企业采取防治措施。</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区自然资源分局、</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区农牧局、区行政审批和政务服务局、区工信局、区综合执法局、区生态环境分局、区公安分局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高</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明</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黄秀丽</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崔昆仑</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徐永昕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冯</w:t>
            </w:r>
            <w:r>
              <w:rPr>
                <w:rFonts w:hint="eastAsia" w:ascii="Times New Roman" w:hAnsi="Times New Roman" w:cs="Times New Roman"/>
                <w:color w:val="auto"/>
                <w:spacing w:val="-2"/>
                <w:sz w:val="18"/>
                <w:szCs w:val="18"/>
                <w:lang w:val="en-US" w:eastAsia="zh-CN"/>
              </w:rPr>
              <w:t xml:space="preserve">  </w:t>
            </w:r>
            <w:r>
              <w:rPr>
                <w:rFonts w:hint="default" w:ascii="Times New Roman" w:hAnsi="Times New Roman" w:cs="Times New Roman"/>
                <w:color w:val="auto"/>
                <w:spacing w:val="-2"/>
                <w:sz w:val="18"/>
                <w:szCs w:val="18"/>
                <w:lang w:eastAsia="zh-CN"/>
              </w:rPr>
              <w:t>伟</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21</w:t>
            </w:r>
          </w:p>
        </w:tc>
        <w:tc>
          <w:tcPr>
            <w:tcW w:w="1122"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切实加强</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完成地下水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环境质量</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调查评估</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按照全市工作部署，持续推进以地下水型饮用水水源地、化工园区、垃圾填埋场、固体废物填埋场、重点企业等为重点开展地下水环境质量调查评估工作。</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22</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开展地下水</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污染防治</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试验区建设</w:t>
            </w:r>
          </w:p>
        </w:tc>
        <w:tc>
          <w:tcPr>
            <w:tcW w:w="6795" w:type="dxa"/>
            <w:noWrap w:val="0"/>
            <w:vAlign w:val="center"/>
          </w:tcPr>
          <w:p>
            <w:pPr>
              <w:pStyle w:val="10"/>
              <w:keepNext w:val="0"/>
              <w:keepLines w:val="0"/>
              <w:pageBreakBefore w:val="0"/>
              <w:widowControl/>
              <w:kinsoku/>
              <w:wordWrap/>
              <w:autoSpaceDN/>
              <w:bidi w:val="0"/>
              <w:spacing w:line="56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按照全市工作部署，配合</w:t>
            </w:r>
            <w:r>
              <w:rPr>
                <w:rFonts w:hint="default" w:ascii="Times New Roman" w:hAnsi="Times New Roman" w:cs="Times New Roman"/>
                <w:color w:val="auto"/>
                <w:sz w:val="18"/>
                <w:szCs w:val="18"/>
                <w:lang w:eastAsia="zh-CN"/>
              </w:rPr>
              <w:t>市级部门</w:t>
            </w:r>
            <w:r>
              <w:rPr>
                <w:rFonts w:hint="default" w:ascii="Times New Roman" w:hAnsi="Times New Roman" w:cs="Times New Roman"/>
                <w:color w:val="auto"/>
                <w:sz w:val="18"/>
                <w:szCs w:val="18"/>
              </w:rPr>
              <w:t>编制试验区建设方案工作</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 xml:space="preserve">                    </w:t>
            </w:r>
            <w:r>
              <w:rPr>
                <w:rFonts w:hint="default" w:ascii="Times New Roman" w:hAnsi="Times New Roman" w:cs="Times New Roman"/>
                <w:color w:val="auto"/>
                <w:sz w:val="18"/>
                <w:szCs w:val="18"/>
              </w:rPr>
              <w:t>开展地下水型饮用水水源补给区划定、地下水污染防治分区划定及污染风险管控。探索固废-土壤-地表水-地下水协同防治。探索建立重点区域重点排污单位名录，落实地下水污染源防范管控责任</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kern w:val="0"/>
                <w:sz w:val="18"/>
                <w:szCs w:val="18"/>
                <w:lang w:val="en-US" w:eastAsia="zh-CN" w:bidi="ar"/>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202</w:t>
            </w:r>
            <w:r>
              <w:rPr>
                <w:rFonts w:hint="default" w:ascii="Times New Roman" w:hAnsi="Times New Roman" w:cs="Times New Roman"/>
                <w:color w:val="auto"/>
                <w:spacing w:val="-2"/>
                <w:sz w:val="18"/>
                <w:szCs w:val="18"/>
                <w:lang w:val="en-US" w:eastAsia="zh-CN"/>
              </w:rPr>
              <w:t>2</w:t>
            </w:r>
            <w:r>
              <w:rPr>
                <w:rFonts w:hint="default" w:ascii="Times New Roman" w:hAnsi="Times New Roman" w:cs="Times New Roman"/>
                <w:color w:val="auto"/>
                <w:spacing w:val="-2"/>
                <w:sz w:val="18"/>
                <w:szCs w:val="18"/>
              </w:rPr>
              <w:t>年12月底</w:t>
            </w:r>
          </w:p>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lang w:val="en-US" w:eastAsia="zh-CN"/>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23</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持续推进重金属污染防控</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严格落实重金属污染治理及项目审批要求，加强对综合利用涉重金属固体废物的重点行业建设项目管理。</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2</w:t>
            </w:r>
            <w:r>
              <w:rPr>
                <w:rFonts w:hint="default" w:ascii="Times New Roman" w:hAnsi="Times New Roman" w:cs="Times New Roman"/>
                <w:color w:val="auto"/>
                <w:spacing w:val="-2"/>
                <w:sz w:val="18"/>
                <w:szCs w:val="18"/>
                <w:lang w:val="en-US" w:eastAsia="zh-CN"/>
              </w:rPr>
              <w:t>4</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restart"/>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推进“无废城市”试点建设</w:t>
            </w: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督导包钢（集团）公司</w:t>
            </w:r>
            <w:r>
              <w:rPr>
                <w:rFonts w:hint="default" w:ascii="Times New Roman" w:hAnsi="Times New Roman" w:cs="Times New Roman"/>
                <w:color w:val="auto"/>
                <w:sz w:val="18"/>
                <w:szCs w:val="18"/>
                <w:lang w:val="en-US" w:eastAsia="zh-CN"/>
              </w:rPr>
              <w:t>2022</w:t>
            </w:r>
            <w:r>
              <w:rPr>
                <w:rFonts w:hint="default" w:ascii="Times New Roman" w:hAnsi="Times New Roman" w:cs="Times New Roman"/>
                <w:color w:val="auto"/>
                <w:sz w:val="18"/>
                <w:szCs w:val="18"/>
                <w:lang w:eastAsia="zh-CN"/>
              </w:rPr>
              <w:t>年底完成</w:t>
            </w:r>
            <w:r>
              <w:rPr>
                <w:rFonts w:hint="default" w:ascii="Times New Roman" w:hAnsi="Times New Roman" w:cs="Times New Roman"/>
                <w:color w:val="auto"/>
                <w:sz w:val="18"/>
                <w:szCs w:val="18"/>
              </w:rPr>
              <w:t>水淬渣清理工作</w:t>
            </w:r>
            <w:r>
              <w:rPr>
                <w:rFonts w:hint="default" w:ascii="Times New Roman" w:hAnsi="Times New Roman" w:cs="Times New Roman"/>
                <w:color w:val="auto"/>
                <w:sz w:val="18"/>
                <w:szCs w:val="18"/>
                <w:lang w:eastAsia="zh-CN"/>
              </w:rPr>
              <w:t>。</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rPr>
              <w:t>区工信局</w:t>
            </w:r>
            <w:r>
              <w:rPr>
                <w:rFonts w:hint="default" w:ascii="Times New Roman" w:hAnsi="Times New Roman" w:cs="Times New Roman"/>
                <w:color w:val="auto"/>
                <w:spacing w:val="-2"/>
                <w:sz w:val="18"/>
                <w:szCs w:val="18"/>
                <w:lang w:eastAsia="zh-CN"/>
              </w:rPr>
              <w:t>、包钢（集团）公司</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李红宇</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val="en-US" w:eastAsia="zh-CN"/>
              </w:rPr>
            </w:pPr>
            <w:r>
              <w:rPr>
                <w:rFonts w:hint="default" w:ascii="Times New Roman" w:hAnsi="Times New Roman" w:cs="Times New Roman"/>
                <w:color w:val="auto"/>
                <w:spacing w:val="-2"/>
                <w:sz w:val="18"/>
                <w:szCs w:val="18"/>
                <w:lang w:val="en-US" w:eastAsia="zh-CN"/>
              </w:rPr>
              <w:t>25</w:t>
            </w:r>
          </w:p>
        </w:tc>
        <w:tc>
          <w:tcPr>
            <w:tcW w:w="1122"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1366" w:type="dxa"/>
            <w:vMerge w:val="continue"/>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p>
        </w:tc>
        <w:tc>
          <w:tcPr>
            <w:tcW w:w="6795" w:type="dxa"/>
            <w:noWrap w:val="0"/>
            <w:vAlign w:val="center"/>
          </w:tcPr>
          <w:p>
            <w:pPr>
              <w:pStyle w:val="10"/>
              <w:keepNext w:val="0"/>
              <w:keepLines w:val="0"/>
              <w:pageBreakBefore w:val="0"/>
              <w:widowControl/>
              <w:kinsoku/>
              <w:wordWrap/>
              <w:autoSpaceDN/>
              <w:bidi w:val="0"/>
              <w:spacing w:beforeAutospacing="0" w:afterAutospacing="0" w:line="5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继续推动落实《昆都仑区“无废城市”建设试点实施方案》（昆府发〔2020〕7 号）中确定的长期试点任务。</w:t>
            </w:r>
          </w:p>
        </w:tc>
        <w:tc>
          <w:tcPr>
            <w:tcW w:w="163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lang w:eastAsia="zh-CN"/>
              </w:rPr>
              <w:t>区生态环境分局、</w:t>
            </w:r>
            <w:r>
              <w:rPr>
                <w:rFonts w:hint="default" w:ascii="Times New Roman" w:hAnsi="Times New Roman" w:cs="Times New Roman"/>
                <w:color w:val="auto"/>
                <w:sz w:val="18"/>
                <w:szCs w:val="18"/>
              </w:rPr>
              <w:t>各成员单位</w:t>
            </w:r>
          </w:p>
        </w:tc>
        <w:tc>
          <w:tcPr>
            <w:tcW w:w="1031"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eastAsia="宋体" w:cs="Times New Roman"/>
                <w:color w:val="auto"/>
                <w:spacing w:val="-2"/>
                <w:sz w:val="18"/>
                <w:szCs w:val="18"/>
                <w:lang w:eastAsia="zh-CN"/>
              </w:rPr>
            </w:pPr>
            <w:r>
              <w:rPr>
                <w:rFonts w:hint="default" w:ascii="Times New Roman" w:hAnsi="Times New Roman" w:cs="Times New Roman"/>
                <w:color w:val="auto"/>
                <w:spacing w:val="-2"/>
                <w:sz w:val="18"/>
                <w:szCs w:val="18"/>
                <w:lang w:eastAsia="zh-CN"/>
              </w:rPr>
              <w:t>张世峰</w:t>
            </w:r>
          </w:p>
        </w:tc>
        <w:tc>
          <w:tcPr>
            <w:tcW w:w="1095" w:type="dxa"/>
            <w:noWrap w:val="0"/>
            <w:vAlign w:val="center"/>
          </w:tcPr>
          <w:p>
            <w:pPr>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color w:val="auto"/>
                <w:spacing w:val="-2"/>
                <w:sz w:val="18"/>
                <w:szCs w:val="18"/>
              </w:rPr>
            </w:pPr>
            <w:r>
              <w:rPr>
                <w:rFonts w:hint="default" w:ascii="Times New Roman" w:hAnsi="Times New Roman" w:cs="Times New Roman"/>
                <w:color w:val="auto"/>
                <w:spacing w:val="-2"/>
                <w:sz w:val="18"/>
                <w:szCs w:val="18"/>
              </w:rPr>
              <w:t>持续推进</w:t>
            </w:r>
          </w:p>
        </w:tc>
        <w:tc>
          <w:tcPr>
            <w:tcW w:w="740"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884"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c>
          <w:tcPr>
            <w:tcW w:w="1078" w:type="dxa"/>
            <w:noWrap w:val="0"/>
            <w:vAlign w:val="center"/>
          </w:tcPr>
          <w:p>
            <w:pPr>
              <w:pStyle w:val="10"/>
              <w:keepNext w:val="0"/>
              <w:keepLines w:val="0"/>
              <w:pageBreakBefore w:val="0"/>
              <w:widowControl/>
              <w:kinsoku/>
              <w:wordWrap/>
              <w:autoSpaceDN/>
              <w:bidi w:val="0"/>
              <w:spacing w:beforeAutospacing="0" w:afterAutospacing="0" w:line="560" w:lineRule="exact"/>
              <w:jc w:val="center"/>
              <w:rPr>
                <w:rFonts w:hint="default" w:ascii="Times New Roman" w:hAnsi="Times New Roman" w:cs="Times New Roman"/>
                <w:b/>
                <w:bCs/>
                <w:color w:val="auto"/>
                <w:spacing w:val="-2"/>
                <w:sz w:val="21"/>
                <w:szCs w:val="21"/>
              </w:rPr>
            </w:pPr>
          </w:p>
        </w:tc>
      </w:tr>
    </w:tbl>
    <w:p>
      <w:pPr>
        <w:pStyle w:val="5"/>
        <w:keepNext w:val="0"/>
        <w:keepLines w:val="0"/>
        <w:pageBreakBefore w:val="0"/>
        <w:kinsoku/>
        <w:wordWrap/>
        <w:autoSpaceDN/>
        <w:bidi w:val="0"/>
        <w:spacing w:line="560" w:lineRule="exact"/>
        <w:ind w:left="0" w:leftChars="0" w:firstLine="0" w:firstLineChars="0"/>
        <w:rPr>
          <w:rFonts w:hint="default" w:ascii="Times New Roman" w:hAnsi="Times New Roman" w:cs="Times New Roman"/>
          <w:color w:val="auto"/>
        </w:rPr>
      </w:pPr>
    </w:p>
    <w:sectPr>
      <w:headerReference r:id="rId6" w:type="default"/>
      <w:footerReference r:id="rId7" w:type="default"/>
      <w:pgSz w:w="16838" w:h="11906" w:orient="landscape"/>
      <w:pgMar w:top="1531" w:right="1871" w:bottom="1531" w:left="2041" w:header="851"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10uCGgIAACk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qkWJEXoodJXV1KT1Lstl3f6tbW&#10;J3Tq7WVZguOrBqWsWYiPzGM7UD42Pj7gkcoipe0lSvbWf/qbPcVjaPBS0mLbKmpwDpSotwbDBGAc&#10;BD8I20EwB31nsb5jXJLjWcQPPqpBlN7qjziDZcohmQoAZoYjGwY1iHcRWu/EOXGxXF51rKJjcW02&#10;jvejTWwFtzxEsJtJTxxdiMGwkoJ9zGPrbyct/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XXS4I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rUSmGgIAACk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FCtRKY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mNkMjE2ZDgxNzRjMmViZTZkZmRmMTYwNmQ4OTEifQ=="/>
  </w:docVars>
  <w:rsids>
    <w:rsidRoot w:val="00061702"/>
    <w:rsid w:val="00003627"/>
    <w:rsid w:val="00061702"/>
    <w:rsid w:val="000B5C91"/>
    <w:rsid w:val="000E7F8A"/>
    <w:rsid w:val="00117121"/>
    <w:rsid w:val="001411FE"/>
    <w:rsid w:val="001B36C7"/>
    <w:rsid w:val="003C7756"/>
    <w:rsid w:val="004A0CBE"/>
    <w:rsid w:val="005452A9"/>
    <w:rsid w:val="006C6460"/>
    <w:rsid w:val="00724310"/>
    <w:rsid w:val="00735463"/>
    <w:rsid w:val="0082773D"/>
    <w:rsid w:val="008415F0"/>
    <w:rsid w:val="008A4FA9"/>
    <w:rsid w:val="008B72A5"/>
    <w:rsid w:val="0091259E"/>
    <w:rsid w:val="009C51E3"/>
    <w:rsid w:val="00A22249"/>
    <w:rsid w:val="00A26EA2"/>
    <w:rsid w:val="00A43029"/>
    <w:rsid w:val="00B139CC"/>
    <w:rsid w:val="00CC6905"/>
    <w:rsid w:val="00E15107"/>
    <w:rsid w:val="00E63F6D"/>
    <w:rsid w:val="00E8076C"/>
    <w:rsid w:val="00EA25B5"/>
    <w:rsid w:val="00F60E43"/>
    <w:rsid w:val="00FA0C4D"/>
    <w:rsid w:val="00FF50FA"/>
    <w:rsid w:val="03955812"/>
    <w:rsid w:val="055C20DD"/>
    <w:rsid w:val="07D16002"/>
    <w:rsid w:val="08C5799F"/>
    <w:rsid w:val="08F96CE0"/>
    <w:rsid w:val="0A652BC2"/>
    <w:rsid w:val="0B41524D"/>
    <w:rsid w:val="0C5817A4"/>
    <w:rsid w:val="0D9E5EDA"/>
    <w:rsid w:val="0DCD551F"/>
    <w:rsid w:val="0EB6320F"/>
    <w:rsid w:val="0EF45FEF"/>
    <w:rsid w:val="0FCF0632"/>
    <w:rsid w:val="115A4248"/>
    <w:rsid w:val="12D97A67"/>
    <w:rsid w:val="13AF472B"/>
    <w:rsid w:val="14CE629D"/>
    <w:rsid w:val="15D44172"/>
    <w:rsid w:val="16804A6C"/>
    <w:rsid w:val="16D249D0"/>
    <w:rsid w:val="17ADFEFF"/>
    <w:rsid w:val="18C2400A"/>
    <w:rsid w:val="1987237F"/>
    <w:rsid w:val="1B9969DF"/>
    <w:rsid w:val="1BA607D0"/>
    <w:rsid w:val="1BBFFDFD"/>
    <w:rsid w:val="1CBD0D6C"/>
    <w:rsid w:val="1D6310C2"/>
    <w:rsid w:val="1D881535"/>
    <w:rsid w:val="1DF3F6ED"/>
    <w:rsid w:val="1DF6149F"/>
    <w:rsid w:val="1DF7101E"/>
    <w:rsid w:val="1E9C6C7C"/>
    <w:rsid w:val="1F7F391A"/>
    <w:rsid w:val="1F8F0BF6"/>
    <w:rsid w:val="1FA607CC"/>
    <w:rsid w:val="23FFF86A"/>
    <w:rsid w:val="240158B5"/>
    <w:rsid w:val="25157A0B"/>
    <w:rsid w:val="25563C94"/>
    <w:rsid w:val="258318D8"/>
    <w:rsid w:val="282A4B14"/>
    <w:rsid w:val="28400B31"/>
    <w:rsid w:val="2A125F48"/>
    <w:rsid w:val="2B42B678"/>
    <w:rsid w:val="2B9C7A4F"/>
    <w:rsid w:val="2BCA4F1D"/>
    <w:rsid w:val="2D74EED2"/>
    <w:rsid w:val="2E355225"/>
    <w:rsid w:val="2E3A7BAD"/>
    <w:rsid w:val="2EA636E9"/>
    <w:rsid w:val="2EAF3530"/>
    <w:rsid w:val="2FA8F78B"/>
    <w:rsid w:val="30620A31"/>
    <w:rsid w:val="31404B82"/>
    <w:rsid w:val="31DB16A7"/>
    <w:rsid w:val="31F7C745"/>
    <w:rsid w:val="33490893"/>
    <w:rsid w:val="33AF6BC7"/>
    <w:rsid w:val="33EEACC7"/>
    <w:rsid w:val="34FA75DD"/>
    <w:rsid w:val="36203B2D"/>
    <w:rsid w:val="36BD9B63"/>
    <w:rsid w:val="37DE5E82"/>
    <w:rsid w:val="37DEA3FE"/>
    <w:rsid w:val="38765C86"/>
    <w:rsid w:val="38833C8F"/>
    <w:rsid w:val="38F834D3"/>
    <w:rsid w:val="38FACCC9"/>
    <w:rsid w:val="39140371"/>
    <w:rsid w:val="394E496B"/>
    <w:rsid w:val="3A065683"/>
    <w:rsid w:val="3AFB2ABA"/>
    <w:rsid w:val="3B7C2AA1"/>
    <w:rsid w:val="3B7E5245"/>
    <w:rsid w:val="3BFF98A8"/>
    <w:rsid w:val="3D08531B"/>
    <w:rsid w:val="3D2B758E"/>
    <w:rsid w:val="3DBC2AB8"/>
    <w:rsid w:val="3DDF0CDF"/>
    <w:rsid w:val="3E33701A"/>
    <w:rsid w:val="3E700C2B"/>
    <w:rsid w:val="3EED03FD"/>
    <w:rsid w:val="3EF636C8"/>
    <w:rsid w:val="3F7B867C"/>
    <w:rsid w:val="3FAB04F2"/>
    <w:rsid w:val="3FDE371C"/>
    <w:rsid w:val="3FFFB1C7"/>
    <w:rsid w:val="41AF39E5"/>
    <w:rsid w:val="437B6009"/>
    <w:rsid w:val="44ED3809"/>
    <w:rsid w:val="45780B4B"/>
    <w:rsid w:val="4823125B"/>
    <w:rsid w:val="483B3B0D"/>
    <w:rsid w:val="48A40F8B"/>
    <w:rsid w:val="494C43D6"/>
    <w:rsid w:val="4A11291D"/>
    <w:rsid w:val="4A4A6F73"/>
    <w:rsid w:val="4A946440"/>
    <w:rsid w:val="4B40596E"/>
    <w:rsid w:val="4BAF1148"/>
    <w:rsid w:val="4CD46A78"/>
    <w:rsid w:val="4CEC3967"/>
    <w:rsid w:val="4D9F55C5"/>
    <w:rsid w:val="4E432010"/>
    <w:rsid w:val="4EC84DC6"/>
    <w:rsid w:val="51BC0756"/>
    <w:rsid w:val="529C01C0"/>
    <w:rsid w:val="53578025"/>
    <w:rsid w:val="544E127D"/>
    <w:rsid w:val="547E7F44"/>
    <w:rsid w:val="55981A11"/>
    <w:rsid w:val="564C0190"/>
    <w:rsid w:val="5697C006"/>
    <w:rsid w:val="56D123E7"/>
    <w:rsid w:val="56FF236F"/>
    <w:rsid w:val="573C3A98"/>
    <w:rsid w:val="5757E3E1"/>
    <w:rsid w:val="57AA635F"/>
    <w:rsid w:val="57D72B25"/>
    <w:rsid w:val="57E27A2E"/>
    <w:rsid w:val="59442F17"/>
    <w:rsid w:val="59947B93"/>
    <w:rsid w:val="59C04B5B"/>
    <w:rsid w:val="59FE4DB5"/>
    <w:rsid w:val="5B0A02F8"/>
    <w:rsid w:val="5BDE5991"/>
    <w:rsid w:val="5BDE72C8"/>
    <w:rsid w:val="5C104856"/>
    <w:rsid w:val="5CB9353B"/>
    <w:rsid w:val="5D826990"/>
    <w:rsid w:val="5DF7F543"/>
    <w:rsid w:val="5E646552"/>
    <w:rsid w:val="5E784BFF"/>
    <w:rsid w:val="5E831624"/>
    <w:rsid w:val="5EEF8580"/>
    <w:rsid w:val="5F33DDCB"/>
    <w:rsid w:val="5F3EF99B"/>
    <w:rsid w:val="5F67BCA1"/>
    <w:rsid w:val="5F776F27"/>
    <w:rsid w:val="5F7F5E10"/>
    <w:rsid w:val="5FE72C36"/>
    <w:rsid w:val="5FEDF268"/>
    <w:rsid w:val="5FF73B5F"/>
    <w:rsid w:val="61686FC6"/>
    <w:rsid w:val="61F26FCB"/>
    <w:rsid w:val="62A13D5B"/>
    <w:rsid w:val="62F874BC"/>
    <w:rsid w:val="63DF6526"/>
    <w:rsid w:val="64314715"/>
    <w:rsid w:val="64DE3CA5"/>
    <w:rsid w:val="667FE76B"/>
    <w:rsid w:val="678A77D4"/>
    <w:rsid w:val="67EB5499"/>
    <w:rsid w:val="67FF8C3A"/>
    <w:rsid w:val="67FFF678"/>
    <w:rsid w:val="69BFBB4F"/>
    <w:rsid w:val="6D3B47D0"/>
    <w:rsid w:val="6D716441"/>
    <w:rsid w:val="6DAC2E55"/>
    <w:rsid w:val="6E8726F4"/>
    <w:rsid w:val="6FCF7517"/>
    <w:rsid w:val="6FDF1B74"/>
    <w:rsid w:val="6FFF4852"/>
    <w:rsid w:val="6FFF7FE2"/>
    <w:rsid w:val="70263C9A"/>
    <w:rsid w:val="70730E60"/>
    <w:rsid w:val="70F70CC0"/>
    <w:rsid w:val="72DC25AE"/>
    <w:rsid w:val="73635B96"/>
    <w:rsid w:val="7373F893"/>
    <w:rsid w:val="74182FAF"/>
    <w:rsid w:val="742B33CD"/>
    <w:rsid w:val="74FE38D1"/>
    <w:rsid w:val="7556758D"/>
    <w:rsid w:val="756C5DF9"/>
    <w:rsid w:val="7573A06B"/>
    <w:rsid w:val="75F3EC1C"/>
    <w:rsid w:val="76E02262"/>
    <w:rsid w:val="76EFA795"/>
    <w:rsid w:val="775F0214"/>
    <w:rsid w:val="77DF25E7"/>
    <w:rsid w:val="77FF6DF0"/>
    <w:rsid w:val="783F1568"/>
    <w:rsid w:val="78B6184B"/>
    <w:rsid w:val="797F8239"/>
    <w:rsid w:val="79DD4579"/>
    <w:rsid w:val="79DE7684"/>
    <w:rsid w:val="79FF50B6"/>
    <w:rsid w:val="7A4FA4A1"/>
    <w:rsid w:val="7ADD5C73"/>
    <w:rsid w:val="7B2D04A9"/>
    <w:rsid w:val="7B565FF6"/>
    <w:rsid w:val="7B7F6B1E"/>
    <w:rsid w:val="7BFF7DFD"/>
    <w:rsid w:val="7D75C30B"/>
    <w:rsid w:val="7D77ED77"/>
    <w:rsid w:val="7D7F0F7B"/>
    <w:rsid w:val="7DE75216"/>
    <w:rsid w:val="7DE78C6A"/>
    <w:rsid w:val="7DFA61FF"/>
    <w:rsid w:val="7DFF2FFA"/>
    <w:rsid w:val="7E3F0E6D"/>
    <w:rsid w:val="7E876779"/>
    <w:rsid w:val="7F24D95E"/>
    <w:rsid w:val="7F5FDF1B"/>
    <w:rsid w:val="7F5FDF8F"/>
    <w:rsid w:val="7F7FF428"/>
    <w:rsid w:val="7F8F57A0"/>
    <w:rsid w:val="7FB71DDC"/>
    <w:rsid w:val="7FD3F7DB"/>
    <w:rsid w:val="7FE283CC"/>
    <w:rsid w:val="7FEDD8EB"/>
    <w:rsid w:val="7FF60089"/>
    <w:rsid w:val="7FF71FE8"/>
    <w:rsid w:val="7FFBBF04"/>
    <w:rsid w:val="7FFE6B67"/>
    <w:rsid w:val="7FFE8D47"/>
    <w:rsid w:val="7FFEBED6"/>
    <w:rsid w:val="8B7706A6"/>
    <w:rsid w:val="8DBB6D82"/>
    <w:rsid w:val="97107700"/>
    <w:rsid w:val="9D735158"/>
    <w:rsid w:val="9D9F3519"/>
    <w:rsid w:val="9EDB890F"/>
    <w:rsid w:val="A6D62484"/>
    <w:rsid w:val="A6FF6566"/>
    <w:rsid w:val="A9F66AB4"/>
    <w:rsid w:val="ABDFDE9D"/>
    <w:rsid w:val="ABEC1FBC"/>
    <w:rsid w:val="ACF777FD"/>
    <w:rsid w:val="AE6F7810"/>
    <w:rsid w:val="AEB97866"/>
    <w:rsid w:val="AFEAE72A"/>
    <w:rsid w:val="B3FA3498"/>
    <w:rsid w:val="B47EB36F"/>
    <w:rsid w:val="B4BB5504"/>
    <w:rsid w:val="B75FDD76"/>
    <w:rsid w:val="B9AD7F12"/>
    <w:rsid w:val="BA6BB1EA"/>
    <w:rsid w:val="BA7D87A4"/>
    <w:rsid w:val="BACD59E4"/>
    <w:rsid w:val="BBFF29C4"/>
    <w:rsid w:val="BCBFC052"/>
    <w:rsid w:val="BDD2D5F4"/>
    <w:rsid w:val="BDF6F289"/>
    <w:rsid w:val="BF6F62B2"/>
    <w:rsid w:val="BFDFC801"/>
    <w:rsid w:val="BFF787D4"/>
    <w:rsid w:val="BFFC59BE"/>
    <w:rsid w:val="BFFF5EA8"/>
    <w:rsid w:val="BFFF97FA"/>
    <w:rsid w:val="C4FFE17B"/>
    <w:rsid w:val="C7F318D8"/>
    <w:rsid w:val="C7FFFD9D"/>
    <w:rsid w:val="CBD70C63"/>
    <w:rsid w:val="CDFE17A8"/>
    <w:rsid w:val="CEF1E27F"/>
    <w:rsid w:val="CFEFFB2E"/>
    <w:rsid w:val="D7FF429D"/>
    <w:rsid w:val="D8FEBD03"/>
    <w:rsid w:val="D96378CF"/>
    <w:rsid w:val="DAEE558B"/>
    <w:rsid w:val="DB7F0319"/>
    <w:rsid w:val="DCDC2046"/>
    <w:rsid w:val="DCFA84A5"/>
    <w:rsid w:val="DD539C79"/>
    <w:rsid w:val="DDD52DE1"/>
    <w:rsid w:val="DDDCDB08"/>
    <w:rsid w:val="DDF7921F"/>
    <w:rsid w:val="DEFFF84E"/>
    <w:rsid w:val="DF68A40F"/>
    <w:rsid w:val="DF7BED56"/>
    <w:rsid w:val="DFC3E413"/>
    <w:rsid w:val="DFEF924C"/>
    <w:rsid w:val="DFFB9AF4"/>
    <w:rsid w:val="DFFBEC36"/>
    <w:rsid w:val="DFFF4298"/>
    <w:rsid w:val="DFFF5627"/>
    <w:rsid w:val="DFFF77EA"/>
    <w:rsid w:val="DFFFC902"/>
    <w:rsid w:val="E4BDC48C"/>
    <w:rsid w:val="E6D7D11D"/>
    <w:rsid w:val="E7FEE9A3"/>
    <w:rsid w:val="E9B4E64F"/>
    <w:rsid w:val="EAAD3875"/>
    <w:rsid w:val="EAFF25A3"/>
    <w:rsid w:val="EBBF34B8"/>
    <w:rsid w:val="EBD70E5B"/>
    <w:rsid w:val="EBEF1AD5"/>
    <w:rsid w:val="EBF3E338"/>
    <w:rsid w:val="EBF53A0C"/>
    <w:rsid w:val="EBFAC60C"/>
    <w:rsid w:val="EBFF0EB9"/>
    <w:rsid w:val="EBFF1DAE"/>
    <w:rsid w:val="EBFF26B8"/>
    <w:rsid w:val="EDFE4960"/>
    <w:rsid w:val="EF7FE258"/>
    <w:rsid w:val="EFA9101A"/>
    <w:rsid w:val="EFFF6CD7"/>
    <w:rsid w:val="F3CD176E"/>
    <w:rsid w:val="F3F52A02"/>
    <w:rsid w:val="F4ED5AD7"/>
    <w:rsid w:val="F50D56FD"/>
    <w:rsid w:val="F67F99FA"/>
    <w:rsid w:val="F73BE956"/>
    <w:rsid w:val="F7BB01CF"/>
    <w:rsid w:val="F7FA013A"/>
    <w:rsid w:val="F7FD31C4"/>
    <w:rsid w:val="F7FEEE34"/>
    <w:rsid w:val="F7FF6509"/>
    <w:rsid w:val="F9DFA5A4"/>
    <w:rsid w:val="FA364542"/>
    <w:rsid w:val="FBBFFC85"/>
    <w:rsid w:val="FBDF9686"/>
    <w:rsid w:val="FBEA90E5"/>
    <w:rsid w:val="FBFF1182"/>
    <w:rsid w:val="FCAE7A56"/>
    <w:rsid w:val="FCB67E55"/>
    <w:rsid w:val="FCDB57D9"/>
    <w:rsid w:val="FD6EBF0A"/>
    <w:rsid w:val="FD91EC33"/>
    <w:rsid w:val="FD9FF3E5"/>
    <w:rsid w:val="FDDF5C1B"/>
    <w:rsid w:val="FDEE9634"/>
    <w:rsid w:val="FDEEE2A1"/>
    <w:rsid w:val="FDF6067C"/>
    <w:rsid w:val="FE9B67B1"/>
    <w:rsid w:val="FEFB16C9"/>
    <w:rsid w:val="FF275E83"/>
    <w:rsid w:val="FF2B157B"/>
    <w:rsid w:val="FF322A6E"/>
    <w:rsid w:val="FF572AED"/>
    <w:rsid w:val="FF6BEF7A"/>
    <w:rsid w:val="FF6F9160"/>
    <w:rsid w:val="FFAF094D"/>
    <w:rsid w:val="FFB3A590"/>
    <w:rsid w:val="FFD7C2F9"/>
    <w:rsid w:val="FFE54092"/>
    <w:rsid w:val="FFEF0DCD"/>
    <w:rsid w:val="FFF1AA96"/>
    <w:rsid w:val="FFFB81FB"/>
    <w:rsid w:val="FFFC1133"/>
    <w:rsid w:val="FFFE9687"/>
    <w:rsid w:val="FFFF04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9"/>
    <w:pPr>
      <w:keepNext/>
      <w:keepLines/>
      <w:widowControl w:val="0"/>
      <w:suppressLineNumbers w:val="0"/>
      <w:spacing w:before="280" w:beforeAutospacing="0" w:after="290" w:afterAutospacing="0" w:line="374" w:lineRule="auto"/>
      <w:ind w:firstLine="601"/>
      <w:jc w:val="both"/>
      <w:outlineLvl w:val="4"/>
    </w:pPr>
    <w:rPr>
      <w:rFonts w:hint="default" w:ascii="Calibri" w:hAnsi="Calibri" w:eastAsia="宋体" w:cs="Times New Roman"/>
      <w:b/>
      <w:kern w:val="2"/>
      <w:sz w:val="28"/>
      <w:szCs w:val="2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水电正文"/>
    <w:basedOn w:val="1"/>
    <w:qFormat/>
    <w:uiPriority w:val="99"/>
    <w:pPr>
      <w:adjustRightInd w:val="0"/>
      <w:snapToGrid w:val="0"/>
    </w:pPr>
    <w:rPr>
      <w:rFonts w:hAnsi="宋体"/>
    </w:rPr>
  </w:style>
  <w:style w:type="paragraph" w:styleId="5">
    <w:name w:val="Normal Indent"/>
    <w:basedOn w:val="1"/>
    <w:qFormat/>
    <w:uiPriority w:val="0"/>
    <w:pPr>
      <w:ind w:firstLine="420"/>
    </w:pPr>
  </w:style>
  <w:style w:type="paragraph" w:styleId="6">
    <w:name w:val="Body Text"/>
    <w:basedOn w:val="1"/>
    <w:semiHidden/>
    <w:unhideWhenUsed/>
    <w:qFormat/>
    <w:uiPriority w:val="99"/>
    <w:pPr>
      <w:keepNext w:val="0"/>
      <w:keepLines w:val="0"/>
      <w:widowControl w:val="0"/>
      <w:suppressLineNumbers w:val="0"/>
      <w:spacing w:before="0" w:beforeAutospacing="0" w:after="0" w:afterAutospacing="0" w:line="560" w:lineRule="exact"/>
      <w:ind w:left="0" w:right="0"/>
      <w:jc w:val="both"/>
    </w:pPr>
    <w:rPr>
      <w:rFonts w:hint="default" w:ascii="Times New Roman" w:hAnsi="Times New Roman" w:cs="宋体"/>
      <w:kern w:val="2"/>
      <w:sz w:val="32"/>
      <w:szCs w:val="32"/>
      <w:lang w:val="en-US" w:eastAsia="zh-CN" w:bidi="ar"/>
    </w:rPr>
  </w:style>
  <w:style w:type="paragraph" w:styleId="7">
    <w:name w:val="Plain Text"/>
    <w:basedOn w:val="1"/>
    <w:semiHidden/>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keepNext w:val="0"/>
      <w:keepLines w:val="0"/>
      <w:widowControl w:val="0"/>
      <w:suppressLineNumbers w:val="0"/>
      <w:spacing w:before="0" w:beforeAutospacing="1" w:after="0" w:afterAutospacing="1"/>
      <w:jc w:val="left"/>
    </w:pPr>
    <w:rPr>
      <w:rFonts w:hint="default" w:ascii="Times New Roman" w:hAnsi="Times New Roman" w:cs="Times New Roman"/>
      <w:kern w:val="0"/>
      <w:sz w:val="24"/>
      <w:szCs w:val="24"/>
      <w:lang w:val="en-US" w:eastAsia="zh-CN" w:bidi="ar"/>
    </w:rPr>
  </w:style>
  <w:style w:type="character" w:styleId="13">
    <w:name w:val="Hyperlink"/>
    <w:basedOn w:val="12"/>
    <w:semiHidden/>
    <w:unhideWhenUsed/>
    <w:qFormat/>
    <w:uiPriority w:val="99"/>
    <w:rPr>
      <w:color w:val="0000FF"/>
      <w:u w:val="single"/>
    </w:rPr>
  </w:style>
  <w:style w:type="character" w:customStyle="1" w:styleId="14">
    <w:name w:val="font31"/>
    <w:basedOn w:val="12"/>
    <w:qFormat/>
    <w:uiPriority w:val="0"/>
    <w:rPr>
      <w:rFonts w:hint="default" w:ascii="Times New Roman" w:hAnsi="Times New Roman" w:cs="Times New Roman"/>
      <w:color w:val="000000"/>
      <w:sz w:val="18"/>
      <w:szCs w:val="18"/>
      <w:u w:val="none"/>
    </w:rPr>
  </w:style>
  <w:style w:type="character" w:customStyle="1" w:styleId="15">
    <w:name w:val="font81"/>
    <w:basedOn w:val="12"/>
    <w:qFormat/>
    <w:uiPriority w:val="0"/>
    <w:rPr>
      <w:rFonts w:hint="eastAsia" w:ascii="宋体" w:hAnsi="宋体" w:eastAsia="宋体" w:cs="宋体"/>
      <w:color w:val="000000"/>
      <w:sz w:val="18"/>
      <w:szCs w:val="18"/>
      <w:u w:val="none"/>
      <w:vertAlign w:val="superscript"/>
    </w:rPr>
  </w:style>
  <w:style w:type="character" w:customStyle="1" w:styleId="16">
    <w:name w:val="font71"/>
    <w:basedOn w:val="12"/>
    <w:qFormat/>
    <w:uiPriority w:val="0"/>
    <w:rPr>
      <w:rFonts w:hint="eastAsia" w:ascii="宋体" w:hAnsi="宋体" w:eastAsia="宋体" w:cs="宋体"/>
      <w:color w:val="000000"/>
      <w:sz w:val="18"/>
      <w:szCs w:val="18"/>
      <w:u w:val="none"/>
    </w:rPr>
  </w:style>
  <w:style w:type="character" w:customStyle="1" w:styleId="17">
    <w:name w:val="font11"/>
    <w:basedOn w:val="12"/>
    <w:qFormat/>
    <w:uiPriority w:val="0"/>
    <w:rPr>
      <w:rFonts w:hint="eastAsia" w:ascii="宋体" w:hAnsi="宋体" w:eastAsia="宋体" w:cs="宋体"/>
      <w:color w:val="000000"/>
      <w:sz w:val="18"/>
      <w:szCs w:val="18"/>
      <w:u w:val="none"/>
    </w:rPr>
  </w:style>
  <w:style w:type="paragraph" w:customStyle="1" w:styleId="18">
    <w:name w:val="正文文本缩进1"/>
    <w:basedOn w:val="1"/>
    <w:qFormat/>
    <w:uiPriority w:val="0"/>
    <w:pPr>
      <w:spacing w:before="100" w:beforeAutospacing="1" w:after="100" w:afterAutospacing="1"/>
      <w:ind w:left="420" w:leftChars="200"/>
    </w:pPr>
    <w:rPr>
      <w:rFonts w:cs="宋体"/>
    </w:rPr>
  </w:style>
  <w:style w:type="character" w:customStyle="1" w:styleId="19">
    <w:name w:val="页脚 Char"/>
    <w:basedOn w:val="12"/>
    <w:link w:val="8"/>
    <w:qFormat/>
    <w:uiPriority w:val="0"/>
    <w:rPr>
      <w:rFonts w:ascii="Calibri" w:hAnsi="Calibri" w:eastAsia="宋体" w:cs="Times New Roman"/>
      <w:sz w:val="18"/>
      <w:szCs w:val="18"/>
    </w:rPr>
  </w:style>
  <w:style w:type="paragraph" w:customStyle="1" w:styleId="20">
    <w:name w:val="正文首行缩进 21"/>
    <w:basedOn w:val="18"/>
    <w:qFormat/>
    <w:uiPriority w:val="0"/>
    <w:pPr>
      <w:ind w:firstLine="420" w:firstLineChars="200"/>
    </w:pPr>
  </w:style>
  <w:style w:type="character" w:customStyle="1" w:styleId="21">
    <w:name w:val="页眉 Char"/>
    <w:basedOn w:val="12"/>
    <w:link w:val="9"/>
    <w:qFormat/>
    <w:uiPriority w:val="0"/>
    <w:rPr>
      <w:rFonts w:ascii="Calibri" w:hAnsi="Calibri" w:eastAsia="宋体" w:cs="Times New Roman"/>
      <w:sz w:val="18"/>
      <w:szCs w:val="18"/>
    </w:rPr>
  </w:style>
  <w:style w:type="character" w:customStyle="1" w:styleId="22">
    <w:name w:val="10"/>
    <w:basedOn w:val="12"/>
    <w:qFormat/>
    <w:uiPriority w:val="0"/>
    <w:rPr>
      <w:rFonts w:hint="default" w:ascii="Times New Roman" w:hAnsi="Times New Roman" w:cs="Times New Roman"/>
    </w:rPr>
  </w:style>
  <w:style w:type="character" w:customStyle="1" w:styleId="23">
    <w:name w:val="15"/>
    <w:basedOn w:val="12"/>
    <w:qFormat/>
    <w:uiPriority w:val="0"/>
    <w:rPr>
      <w:rFonts w:hint="default" w:ascii="Times New Roman" w:hAnsi="Times New Roman" w:cs="Times New Roman"/>
      <w:b/>
    </w:rPr>
  </w:style>
  <w:style w:type="character" w:customStyle="1" w:styleId="24">
    <w:name w:val="font21"/>
    <w:qFormat/>
    <w:uiPriority w:val="99"/>
    <w:rPr>
      <w:rFonts w:ascii="宋体" w:hAnsi="宋体" w:eastAsia="宋体" w:cs="宋体"/>
      <w:color w:val="000000"/>
      <w:sz w:val="18"/>
      <w:szCs w:val="18"/>
      <w:u w:val="none"/>
    </w:rPr>
  </w:style>
  <w:style w:type="character" w:customStyle="1" w:styleId="25">
    <w:name w:val="font01"/>
    <w:qFormat/>
    <w:uiPriority w:val="99"/>
    <w:rPr>
      <w:rFonts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63</Pages>
  <Words>25320</Words>
  <Characters>26064</Characters>
  <Lines>1</Lines>
  <Paragraphs>1</Paragraphs>
  <TotalTime>185</TotalTime>
  <ScaleCrop>false</ScaleCrop>
  <LinksUpToDate>false</LinksUpToDate>
  <CharactersWithSpaces>27162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2022-05-11T23:37:00Z</dcterms:created>
  <dc:creator>微软用户</dc:creator>
  <cp:lastModifiedBy> </cp:lastModifiedBy>
  <cp:lastPrinted>2022-08-19T07:46:00Z</cp:lastPrinted>
  <dcterms:modified xsi:type="dcterms:W3CDTF">2026-07-02T15:36:56Z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3F4ED27D01534F069BD7A819BD81144B</vt:lpwstr>
  </property>
</Properties>
</file>